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F338C" w:rsidRDefault="00485578">
      <w:pPr>
        <w:spacing w:before="60" w:after="60" w:line="288" w:lineRule="auto"/>
        <w:jc w:val="center"/>
      </w:pPr>
      <w:bookmarkStart w:id="0" w:name="_GoBack"/>
      <w:bookmarkEnd w:id="0"/>
      <w:r>
        <w:rPr>
          <w:b/>
        </w:rPr>
        <w:t>GIẢI THÍCH BIỂU MẪU SỐ 10a/TP/CC, 10b/TP/CC</w:t>
      </w:r>
    </w:p>
    <w:p w14:paraId="00000002" w14:textId="77777777" w:rsidR="007F338C" w:rsidRDefault="00485578">
      <w:pPr>
        <w:spacing w:before="60" w:after="60" w:line="288" w:lineRule="auto"/>
        <w:jc w:val="center"/>
      </w:pPr>
      <w:r>
        <w:rPr>
          <w:b/>
        </w:rPr>
        <w:t>(Tình hình tổ chức và hoạt động công chứng)</w:t>
      </w:r>
    </w:p>
    <w:p w14:paraId="00000003" w14:textId="77777777" w:rsidR="007F338C" w:rsidRDefault="00485578">
      <w:pPr>
        <w:spacing w:before="60" w:after="60" w:line="288" w:lineRule="auto"/>
        <w:ind w:firstLine="709"/>
        <w:jc w:val="both"/>
      </w:pPr>
      <w:r>
        <w:rPr>
          <w:b/>
        </w:rPr>
        <w:t>1. Khái niệm, phương pháp tính</w:t>
      </w:r>
    </w:p>
    <w:p w14:paraId="00000004" w14:textId="77777777" w:rsidR="007F338C" w:rsidRDefault="00485578">
      <w:pPr>
        <w:spacing w:before="60" w:after="60" w:line="288" w:lineRule="auto"/>
        <w:ind w:firstLine="709"/>
        <w:jc w:val="both"/>
      </w:pPr>
      <w:r>
        <w:t>* Biểu mẫu số 10a/TP/CC phản ánh số liệu về tình hình tổ chức và hoạt động công chứng tại Phòng công chứng và Văn phòng công chứng.</w:t>
      </w:r>
    </w:p>
    <w:p w14:paraId="00000005" w14:textId="77777777" w:rsidR="007F338C" w:rsidRDefault="00485578">
      <w:pPr>
        <w:ind w:firstLine="709"/>
        <w:jc w:val="both"/>
      </w:pPr>
      <w:r>
        <w:t>* Biểu mẫu số 10b/TP/CC phản ánh số liệu về tình hình tổ chức và hoạt động công chứng trên địa bàn tỉnh/thành phố.</w:t>
      </w:r>
    </w:p>
    <w:p w14:paraId="00000006" w14:textId="77777777" w:rsidR="007F338C" w:rsidRDefault="00485578">
      <w:pPr>
        <w:ind w:firstLine="709"/>
        <w:jc w:val="both"/>
      </w:pPr>
      <w:r>
        <w:t xml:space="preserve">* Giải thích thuật ngữ: </w:t>
      </w:r>
    </w:p>
    <w:p w14:paraId="00000007" w14:textId="77777777" w:rsidR="007F338C" w:rsidRDefault="00485578">
      <w:pPr>
        <w:pBdr>
          <w:top w:val="nil"/>
          <w:left w:val="nil"/>
          <w:bottom w:val="nil"/>
          <w:right w:val="nil"/>
          <w:between w:val="nil"/>
        </w:pBdr>
        <w:shd w:val="clear" w:color="auto" w:fill="FFFFFF"/>
        <w:spacing w:before="60" w:after="60" w:line="288" w:lineRule="auto"/>
        <w:ind w:firstLine="709"/>
        <w:jc w:val="both"/>
        <w:rPr>
          <w:sz w:val="24"/>
          <w:szCs w:val="24"/>
        </w:rPr>
      </w:pPr>
      <w:r>
        <w:t>- Tổ chức hành nghề công chứng được quy định tại khoản 1 Điều 19 Luật Công chứng số 46/2024/QH15 bao gồm Phòng công chứng và Văn phòng công chứng được tổ chức và hoạt động theo quy định của Luật số 46/2024/QH15 và các văn bản quy phạm pháp luật khác có liên quan.</w:t>
      </w:r>
    </w:p>
    <w:p w14:paraId="00000008" w14:textId="77777777" w:rsidR="007F338C" w:rsidRDefault="00485578">
      <w:pPr>
        <w:spacing w:before="60" w:after="60" w:line="288" w:lineRule="auto"/>
        <w:ind w:firstLine="709"/>
        <w:jc w:val="both"/>
      </w:pPr>
      <w:r>
        <w:t>- Khái niệm “công chứng viên” được quy định tại khoản 2 Điều 2 Luật số 46/2024/QH15.</w:t>
      </w:r>
    </w:p>
    <w:p w14:paraId="00000009" w14:textId="77777777" w:rsidR="007F338C" w:rsidRDefault="00485578">
      <w:pPr>
        <w:spacing w:before="60" w:after="60" w:line="288" w:lineRule="auto"/>
        <w:ind w:firstLine="709"/>
        <w:jc w:val="both"/>
      </w:pPr>
      <w:r>
        <w:t>- Công chứng giao dịch về bất động sản bao gồm:</w:t>
      </w:r>
    </w:p>
    <w:p w14:paraId="0000000A" w14:textId="77777777" w:rsidR="007F338C" w:rsidRDefault="00485578">
      <w:pPr>
        <w:spacing w:before="60" w:after="60" w:line="288" w:lineRule="auto"/>
        <w:ind w:firstLine="709"/>
        <w:jc w:val="both"/>
      </w:pPr>
      <w:r>
        <w:t>+ Các hợp đồng chuyển quyền sở hữu, quyền sử dụng tài sản (chuyển nhượng, mua bán, tặng cho...); hợp đồng bảo đảm (thế chấp, cầm cố, bảo lãnh, đặt cọc, ký cược, ký quỹ...) liên quan đến bất động sản;</w:t>
      </w:r>
    </w:p>
    <w:p w14:paraId="0000000B" w14:textId="77777777" w:rsidR="007F338C" w:rsidRDefault="00485578">
      <w:pPr>
        <w:spacing w:before="60" w:after="60" w:line="288" w:lineRule="auto"/>
        <w:ind w:firstLine="709"/>
        <w:jc w:val="both"/>
      </w:pPr>
      <w:r>
        <w:t>+ Các giao dịch liên quan đến thừa kế (di chúc, sửa đổi, bổ sung, hủy bỏ di chúc, văn bản thỏa thuận phân chia di sản, văn bản từ chối nhận di sản...) liên quan đến bất động sản;</w:t>
      </w:r>
    </w:p>
    <w:p w14:paraId="0000000C" w14:textId="77777777" w:rsidR="007F338C" w:rsidRDefault="00485578">
      <w:pPr>
        <w:spacing w:before="60" w:after="60" w:line="288" w:lineRule="auto"/>
        <w:ind w:firstLine="709"/>
        <w:jc w:val="both"/>
      </w:pPr>
      <w:r>
        <w:t>+ Các hợp đồng, giao dịch khác, gồm: các hợp đồng, giao dịch về động sản như: nhận lưu giữ di chúc, cấp bản sao văn bản công chứng…</w:t>
      </w:r>
    </w:p>
    <w:p w14:paraId="0000000D" w14:textId="77777777" w:rsidR="007F338C" w:rsidRDefault="00485578">
      <w:pPr>
        <w:spacing w:before="60" w:after="60" w:line="288" w:lineRule="auto"/>
        <w:ind w:firstLine="709"/>
        <w:jc w:val="both"/>
      </w:pPr>
      <w:r>
        <w:t xml:space="preserve">- Phí công chứng được quy định tại khoản 1 Điều 70 Luật số 46/2024/QH15 bao gồm: phí công chứng giao dịch, phí nhận lưu giữ di chúc, phí cấp bản sao văn bản công chứng. </w:t>
      </w:r>
    </w:p>
    <w:p w14:paraId="0000000E" w14:textId="77777777" w:rsidR="007F338C" w:rsidRDefault="00485578">
      <w:pPr>
        <w:spacing w:before="60" w:after="60" w:line="288" w:lineRule="auto"/>
        <w:ind w:firstLine="709"/>
        <w:jc w:val="both"/>
      </w:pPr>
      <w:r>
        <w:t xml:space="preserve">- Phí, giá dịch vụ theo yêu cầu liên quan đến việc công chứng được quy định tại khoản 1 Điều 71 Luật số 46/2024/QH15 bao gồm: phí khai thác, sử dụng thông tin liên quan đến giao dịch theo quy định của pháp luật, giá dịch vụ theo yêu cầu liên quan </w:t>
      </w:r>
      <w:r>
        <w:lastRenderedPageBreak/>
        <w:t>đến việc công chứng khi yêu cầu tổ chức hành nghề công chứng thực hiện việc soạn thảo giao dịch, đánh máy, sao chụp, dịch giấy tờ, văn bản liên quan đến giao dịch.</w:t>
      </w:r>
    </w:p>
    <w:p w14:paraId="0000000F" w14:textId="77777777" w:rsidR="007F338C" w:rsidRDefault="00485578">
      <w:pPr>
        <w:spacing w:before="60" w:after="60" w:line="288" w:lineRule="auto"/>
        <w:ind w:firstLine="709"/>
        <w:jc w:val="both"/>
      </w:pPr>
      <w:r>
        <w:t>- Chi phí khác được quy định tại khoản 1 Điều 72 Luật số 46/2024/QH15 là các chi phí người yêu cầu công chứng phải trả khi đề nghị xác minh, yêu cầu giám định phục vụ việc công chứng; yêu cầu công chứng ngoài trụ sở của tổ chức hành nghề công chứng; yêu cầu công chứng ngoài ngày, giờ làm việc của tổ chức hành nghề công chứng; yêu cầu tổ chức hành nghề công chứng niêm yết việc tiếp nhận công chứng văn bản phân chia di sản.</w:t>
      </w:r>
    </w:p>
    <w:p w14:paraId="00000010" w14:textId="77777777" w:rsidR="007F338C" w:rsidRDefault="00485578">
      <w:pPr>
        <w:ind w:firstLine="720"/>
        <w:jc w:val="both"/>
      </w:pPr>
      <w:r>
        <w:t>- Chứng thực bản sao từ bản chính bao gồm: Chứng thực bản sao từ bản chính được quy định tại Nghị định số 23/2015/NĐ-CP</w:t>
      </w:r>
      <w:bookmarkStart w:id="1" w:name="bookmark=id.orcjb5bpqfdp" w:colFirst="0" w:colLast="0"/>
      <w:bookmarkEnd w:id="1"/>
      <w:r>
        <w:t xml:space="preserve"> </w:t>
      </w:r>
      <w:r>
        <w:rPr>
          <w:highlight w:val="white"/>
        </w:rPr>
        <w:t>về cấp bản sao từ sổ gốc, chứng thực bản sao từ bản chính, chứng thực chữ ký và chứng thực hợp đồng, giao dịch</w:t>
      </w:r>
      <w:r>
        <w:t xml:space="preserve"> được sửa đổi, bổ sung bởi Nghị định số 07/2025/NĐ-CP về sửa đổi, bổ sung một số điều của các Nghị định trong lĩnh vực hộ tịch, quốc tịch, chứng thực và chứng thực bản sao điện tử từ bản chính được quy định tại Nghị định số 45/2020/NĐ-CP về thực hiện thủ tục hành chính trên môi trường điện tử.</w:t>
      </w:r>
    </w:p>
    <w:p w14:paraId="00000011" w14:textId="77777777" w:rsidR="007F338C" w:rsidRDefault="00485578">
      <w:pPr>
        <w:ind w:firstLine="720"/>
        <w:jc w:val="both"/>
      </w:pPr>
      <w:r>
        <w:t>- Phí chứng thực bản sao là số phí mà người yêu cầu chứng thực phải nộp khi yêu cầu chứng thực bản sao từ bản chính. Mức thu phí được quy định tại khoản 7 Điều 4 Thông tư số 257/2016/TT-BTC quy định mức thu, chế độ thu, nộp, quản lý, sử dụng phí công chứng; phí chứng thực; phí thẩm định tiêu chuẩn, điều kiện hành nghề công chứng; phí thẩm định điều kiện hoạt động Văn phòng công chứng; lệ phí cấp thẻ công chứng viên được sửa đổi, bổ sung bởi Thông tư số 111/2017/TT-BTC.</w:t>
      </w:r>
    </w:p>
    <w:p w14:paraId="00000012" w14:textId="77777777" w:rsidR="007F338C" w:rsidRDefault="00485578">
      <w:pPr>
        <w:spacing w:before="60" w:after="60" w:line="288" w:lineRule="auto"/>
        <w:ind w:firstLine="709"/>
        <w:jc w:val="both"/>
      </w:pPr>
      <w:r>
        <w:t>- Chứng thực chữ ký trong giấy tờ, văn bản là việc công chứng viên chứng thực chữ ký trong giấy tờ, văn bản là chữ ký của người yêu cầu chứng thực. Việc chứng thực chữ ký cũng được áp dụng trong trường hợp chứng thực điểm chỉ khi người yêu cầu chứng thực chữ ký không ký được và trường hợp người yêu cầu chứng thực không thể ký, điểm chỉ được.</w:t>
      </w:r>
    </w:p>
    <w:p w14:paraId="00000013" w14:textId="77777777" w:rsidR="007F338C" w:rsidRDefault="00485578">
      <w:pPr>
        <w:spacing w:before="60" w:after="60" w:line="288" w:lineRule="auto"/>
        <w:ind w:firstLine="709"/>
        <w:jc w:val="both"/>
      </w:pPr>
      <w:r>
        <w:t>- Phí chứng thực chữ ký là số phí mà người yêu cầu chứng thực phải nộp khi yêu cầu chứng thực chữ ký trong giấy tờ, văn bản. Mức thu phí được quy định tại khoản 8 Điều 4 Thông tư số 257/2016/TT-BTC được sửa đổi, bổ sung bởi Thông tư số 111/2017/TT-BTC.</w:t>
      </w:r>
    </w:p>
    <w:p w14:paraId="00000014" w14:textId="77777777" w:rsidR="007F338C" w:rsidRDefault="00485578">
      <w:pPr>
        <w:ind w:firstLine="720"/>
        <w:jc w:val="both"/>
        <w:rPr>
          <w:shd w:val="clear" w:color="auto" w:fill="F9FAFC"/>
        </w:rPr>
      </w:pPr>
      <w:r>
        <w:t xml:space="preserve">- Chứng thực chữ ký người dịch: là việc công chứng viên </w:t>
      </w:r>
      <w:r>
        <w:rPr>
          <w:shd w:val="clear" w:color="auto" w:fill="F9FAFC"/>
        </w:rPr>
        <w:t>chứng thực chữ ký của người dịch trong các giấy tờ, văn bản được dịch từ tiếng nước ngoài sang tiếng Việt, từ tiếng Việt sang tiếng nước ngoài là chữ ký của người yêu cầu chứng thực chữ ký người dịch.</w:t>
      </w:r>
    </w:p>
    <w:p w14:paraId="00000015" w14:textId="77777777" w:rsidR="007F338C" w:rsidRDefault="00485578">
      <w:pPr>
        <w:spacing w:before="60" w:after="60" w:line="288" w:lineRule="auto"/>
        <w:ind w:firstLine="709"/>
        <w:jc w:val="both"/>
        <w:rPr>
          <w:rFonts w:ascii="Arial" w:eastAsia="Arial" w:hAnsi="Arial" w:cs="Arial"/>
          <w:sz w:val="22"/>
          <w:szCs w:val="22"/>
        </w:rPr>
      </w:pPr>
      <w:r>
        <w:lastRenderedPageBreak/>
        <w:t>- Phí chứng thực chữ ký là số phí mà người yêu cầu chứng thực phải nộp khi yêu cầu chứng thực chữ ký người dịch. Mức thu phí được quy định tại khoản 8 Điều 4 Thông tư số 257/2016/TT-BTC được sửa đổi, bổ sung bởi Thông tư số 111/2017/TT-BTC.</w:t>
      </w:r>
    </w:p>
    <w:p w14:paraId="00000016" w14:textId="77777777" w:rsidR="007F338C" w:rsidRDefault="00485578">
      <w:pPr>
        <w:spacing w:before="60" w:after="60" w:line="288" w:lineRule="auto"/>
        <w:ind w:firstLine="709"/>
        <w:jc w:val="both"/>
      </w:pPr>
      <w:r>
        <w:rPr>
          <w:b/>
        </w:rPr>
        <w:t>2. Cách ghi biểu</w:t>
      </w:r>
    </w:p>
    <w:p w14:paraId="00000017" w14:textId="77777777" w:rsidR="007F338C" w:rsidRDefault="00485578">
      <w:pPr>
        <w:spacing w:before="60" w:after="60" w:line="288" w:lineRule="auto"/>
        <w:ind w:firstLine="709"/>
        <w:jc w:val="both"/>
      </w:pPr>
      <w:r>
        <w:t>- Cột (2) = Cột (3 + 5).</w:t>
      </w:r>
    </w:p>
    <w:p w14:paraId="00000018" w14:textId="77777777" w:rsidR="007F338C" w:rsidRPr="001526A0" w:rsidRDefault="001B0646">
      <w:pPr>
        <w:spacing w:before="60" w:after="60" w:line="288" w:lineRule="auto"/>
        <w:ind w:firstLine="709"/>
        <w:jc w:val="both"/>
      </w:pPr>
      <w:sdt>
        <w:sdtPr>
          <w:tag w:val="goog_rdk_0"/>
          <w:id w:val="-1411357821"/>
        </w:sdtPr>
        <w:sdtEndPr/>
        <w:sdtContent>
          <w:r w:rsidR="00485578" w:rsidRPr="001526A0">
            <w:rPr>
              <w:rFonts w:eastAsia="Caudex"/>
            </w:rPr>
            <w:t>- Cột (4) là một phần số liệu cột (3) (cột (4) ≤ cột (3))</w:t>
          </w:r>
        </w:sdtContent>
      </w:sdt>
    </w:p>
    <w:p w14:paraId="00000019" w14:textId="77777777" w:rsidR="007F338C" w:rsidRPr="001526A0" w:rsidRDefault="001B0646">
      <w:pPr>
        <w:spacing w:before="60" w:after="60" w:line="288" w:lineRule="auto"/>
        <w:ind w:firstLine="709"/>
        <w:jc w:val="both"/>
      </w:pPr>
      <w:sdt>
        <w:sdtPr>
          <w:tag w:val="goog_rdk_1"/>
          <w:id w:val="732174692"/>
        </w:sdtPr>
        <w:sdtEndPr/>
        <w:sdtContent>
          <w:r w:rsidR="00485578" w:rsidRPr="001526A0">
            <w:rPr>
              <w:rFonts w:eastAsia="Caudex"/>
            </w:rPr>
            <w:t>- Cột (6) là một phần số liệu cột (5) (cột (6) ≤ cột (5))</w:t>
          </w:r>
        </w:sdtContent>
      </w:sdt>
    </w:p>
    <w:p w14:paraId="0000001A" w14:textId="3D563F43" w:rsidR="007F338C" w:rsidRPr="001526A0" w:rsidRDefault="001B0646">
      <w:pPr>
        <w:spacing w:before="60" w:after="60" w:line="288" w:lineRule="auto"/>
        <w:ind w:firstLine="709"/>
        <w:jc w:val="both"/>
      </w:pPr>
      <w:sdt>
        <w:sdtPr>
          <w:tag w:val="goog_rdk_2"/>
          <w:id w:val="-233884381"/>
        </w:sdtPr>
        <w:sdtEndPr/>
        <w:sdtContent>
          <w:r w:rsidR="00485578" w:rsidRPr="001526A0">
            <w:rPr>
              <w:rFonts w:eastAsia="Caudex"/>
            </w:rPr>
            <w:t>- Cộ</w:t>
          </w:r>
          <w:r w:rsidR="00846A4B">
            <w:rPr>
              <w:rFonts w:eastAsia="Caudex"/>
            </w:rPr>
            <w:t>t (12</w:t>
          </w:r>
          <w:r w:rsidR="00485578" w:rsidRPr="001526A0">
            <w:rPr>
              <w:rFonts w:eastAsia="Caudex"/>
            </w:rPr>
            <w:t>) là một phần số liệu cộ</w:t>
          </w:r>
          <w:r w:rsidR="00846A4B">
            <w:rPr>
              <w:rFonts w:eastAsia="Caudex"/>
            </w:rPr>
            <w:t>t (11</w:t>
          </w:r>
          <w:r w:rsidR="00485578" w:rsidRPr="001526A0">
            <w:rPr>
              <w:rFonts w:eastAsia="Caudex"/>
            </w:rPr>
            <w:t>) (cộ</w:t>
          </w:r>
          <w:r w:rsidR="00846A4B">
            <w:rPr>
              <w:rFonts w:eastAsia="Caudex"/>
            </w:rPr>
            <w:t>t (12</w:t>
          </w:r>
          <w:r w:rsidR="00485578" w:rsidRPr="001526A0">
            <w:rPr>
              <w:rFonts w:eastAsia="Caudex"/>
            </w:rPr>
            <w:t>) ≤ cộ</w:t>
          </w:r>
          <w:r w:rsidR="00846A4B">
            <w:rPr>
              <w:rFonts w:eastAsia="Caudex"/>
            </w:rPr>
            <w:t>t (11</w:t>
          </w:r>
          <w:r w:rsidR="00485578" w:rsidRPr="001526A0">
            <w:rPr>
              <w:rFonts w:eastAsia="Caudex"/>
            </w:rPr>
            <w:t>))</w:t>
          </w:r>
        </w:sdtContent>
      </w:sdt>
    </w:p>
    <w:p w14:paraId="0000001B" w14:textId="3DE073BC" w:rsidR="007F338C" w:rsidRDefault="003F4A5A">
      <w:pPr>
        <w:spacing w:before="60" w:after="60" w:line="288" w:lineRule="auto"/>
        <w:ind w:firstLine="709"/>
        <w:jc w:val="both"/>
      </w:pPr>
      <w:r>
        <w:t>- Cột (14</w:t>
      </w:r>
      <w:r w:rsidR="00485578">
        <w:t>) (số việc chứng thực chữ ký trong giấy tờ, văn bản) thống kê theo số giấy tờ, văn bản mà công chứng viên đã ký chứng thực (Ví dụ: Một loại giấy tờ, văn bản được lập thành 10 bản, công chứng viên ký chứng thực trong 10 giấy tờ, văn bản đó thì số lượng giấy tờ, văn bản đã được chứng thực chữ ký là 10; 05 loại giấy tờ, văn bản khác nhau, mỗi loại được lập thành 01 bản, công chứng viên ký chứng thực trong 05 loại giấy tờ, văn bản đó thì số lượng giấy tờ, văn bản đã được chứng thực chữ ký là 05; 10 người ký trong một giấy tờ, văn bản, công chứng viên ký chứng thực trong giấy tờ, văn bản đó thì số lượng giấy tờ, văn bản đã được chứng thực chữ ký là 01).</w:t>
      </w:r>
    </w:p>
    <w:p w14:paraId="0000001C" w14:textId="550E0701" w:rsidR="007F338C" w:rsidRDefault="003F4A5A">
      <w:pPr>
        <w:ind w:firstLine="720"/>
        <w:jc w:val="both"/>
      </w:pPr>
      <w:r>
        <w:t>- Cột (16</w:t>
      </w:r>
      <w:r w:rsidR="00485578">
        <w:t>) (số việc chứng thực chữ ký người dịch) thống kê theo số giấy tờ, văn bản người người dịch (đồng thời là người yêu cầu chứng thực) đã ký và đã được chứng thực. Ví dụ: 01 người dịch (đồng thời là người yêu cầu chứng thực) đã ký trong 05 loại giấy tờ, văn bản đã được dịch và yêu cầu chứng thực chữ ký người dịch (kể cả trong trường hợp 05 giấy tờ, văn bản có nội dung giống nhau) thì thống kê là 05 việc.</w:t>
      </w:r>
    </w:p>
    <w:p w14:paraId="0000001D" w14:textId="32D1254D" w:rsidR="007F338C" w:rsidRDefault="003F4A5A">
      <w:pPr>
        <w:spacing w:before="60" w:after="60" w:line="288" w:lineRule="auto"/>
        <w:ind w:firstLine="709"/>
        <w:jc w:val="both"/>
      </w:pPr>
      <w:r>
        <w:t>- Cột (18</w:t>
      </w:r>
      <w:r w:rsidR="00485578">
        <w:t>): Ghi tổng số tiền nộp ngân sách và nộp thuế đối với Phòng công chứng; tổng số tiền nộp thuế (gồm thuế môn bài và thuế thu nhập doanh</w:t>
      </w:r>
      <w:r>
        <w:t xml:space="preserve"> nghiệp) đối với Văn phòng công chứng</w:t>
      </w:r>
      <w:r w:rsidR="00485578">
        <w:t>.</w:t>
      </w:r>
    </w:p>
    <w:p w14:paraId="0000001E" w14:textId="77777777" w:rsidR="007F338C" w:rsidRDefault="00485578">
      <w:pPr>
        <w:spacing w:before="60" w:after="60" w:line="288" w:lineRule="auto"/>
        <w:ind w:firstLine="709"/>
        <w:jc w:val="both"/>
      </w:pPr>
      <w:r>
        <w:t xml:space="preserve">- Riêng biểu mẫu số 10b/TP/CC: </w:t>
      </w:r>
    </w:p>
    <w:p w14:paraId="00000020" w14:textId="12844C6D" w:rsidR="007F338C" w:rsidRDefault="00485578" w:rsidP="00622AD7">
      <w:pPr>
        <w:spacing w:before="60" w:after="60" w:line="288" w:lineRule="auto"/>
        <w:ind w:firstLine="709"/>
        <w:jc w:val="both"/>
      </w:pPr>
      <w:r>
        <w:t>+ Sau khi rà soát, kiểm tra tính chính xác của số liệu, Sở Tư pháp tổng hợp chi tiết báo cáo của từng Phòng Công chứng/Văn phòng Công chứng vào các dòng tại các mục tương ứng và cộng dòng tổng từng mục, gồm: mục I (Phòng Công chứng) và mục II (Văn phòng Công chứng), Dòng Tổng số = mục I + mục II.</w:t>
      </w:r>
    </w:p>
    <w:p w14:paraId="00000021" w14:textId="197A10F9" w:rsidR="007F338C" w:rsidRDefault="00485578">
      <w:pPr>
        <w:spacing w:before="60" w:after="60" w:line="288" w:lineRule="auto"/>
        <w:ind w:firstLine="709"/>
        <w:jc w:val="both"/>
      </w:pPr>
      <w:r>
        <w:lastRenderedPageBreak/>
        <w:t>+ Trường hợp có những vấn đề cần làm rõ về nội dung số liệu thốn</w:t>
      </w:r>
      <w:r w:rsidR="00622AD7">
        <w:t>g kê thì thuyết minh tại cột (19</w:t>
      </w:r>
      <w:r>
        <w:t>).</w:t>
      </w:r>
    </w:p>
    <w:p w14:paraId="00000022" w14:textId="77777777" w:rsidR="007F338C" w:rsidRDefault="00485578">
      <w:pPr>
        <w:spacing w:before="60" w:after="60" w:line="288" w:lineRule="auto"/>
        <w:ind w:firstLine="709"/>
        <w:jc w:val="both"/>
      </w:pPr>
      <w:bookmarkStart w:id="2" w:name="_heading=h.cbsze33y80gb" w:colFirst="0" w:colLast="0"/>
      <w:bookmarkEnd w:id="2"/>
      <w:r>
        <w:rPr>
          <w:b/>
        </w:rPr>
        <w:t>3. Nguồn số liệu</w:t>
      </w:r>
    </w:p>
    <w:p w14:paraId="00000023" w14:textId="77777777" w:rsidR="007F338C" w:rsidRDefault="00485578">
      <w:pPr>
        <w:spacing w:before="60" w:after="60" w:line="288" w:lineRule="auto"/>
        <w:ind w:firstLine="709"/>
        <w:jc w:val="both"/>
      </w:pPr>
      <w:r>
        <w:t>- Biểu mẫu số 10a/TP/CC: Phòng công chứng, Văn phòng công chứng tổng hợp số liệu từ sổ công chứng, sổ chứng thực, sổ về tài chính, kế toán, các loại sổ khác theo quy định và hồ sơ công chứng, chứng thực.</w:t>
      </w:r>
    </w:p>
    <w:p w14:paraId="00000024" w14:textId="2C1C2242" w:rsidR="007F338C" w:rsidRDefault="00485578">
      <w:pPr>
        <w:spacing w:before="60" w:after="60" w:line="288" w:lineRule="auto"/>
        <w:ind w:firstLine="709"/>
        <w:jc w:val="both"/>
      </w:pPr>
      <w:r>
        <w:t>- Biểu mẫu số 10b/TP/CC: Sở Tư pháp tổng hợp số liệu từ biểu mẫu số 10a/TP/CC và từ hồ sơ, tài liệu theo dõi về tình hình tổ chức và hoạt động công chứng.</w:t>
      </w:r>
    </w:p>
    <w:p w14:paraId="00000025" w14:textId="77777777" w:rsidR="007F338C" w:rsidRDefault="007F338C">
      <w:pPr>
        <w:spacing w:before="60" w:after="60" w:line="288" w:lineRule="auto"/>
        <w:ind w:firstLine="720"/>
      </w:pPr>
    </w:p>
    <w:sectPr w:rsidR="007F338C">
      <w:pgSz w:w="16840" w:h="11907" w:orient="landscape"/>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udex">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8C"/>
    <w:rsid w:val="001526A0"/>
    <w:rsid w:val="001B0646"/>
    <w:rsid w:val="003F4A5A"/>
    <w:rsid w:val="00485578"/>
    <w:rsid w:val="00622AD7"/>
    <w:rsid w:val="006C5D93"/>
    <w:rsid w:val="007F338C"/>
    <w:rsid w:val="00846A4B"/>
    <w:rsid w:val="009E0C90"/>
    <w:rsid w:val="00A7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DDCF"/>
  <w15:docId w15:val="{0F78970B-A220-47E2-9C3F-0A499E48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rsid w:val="00FF666D"/>
    <w:tblPr>
      <w:tblCellMar>
        <w:top w:w="0" w:type="dxa"/>
        <w:left w:w="0" w:type="dxa"/>
        <w:bottom w:w="0" w:type="dxa"/>
        <w:right w:w="0" w:type="dxa"/>
      </w:tblCellMar>
    </w:tblPr>
  </w:style>
  <w:style w:type="paragraph" w:customStyle="1" w:styleId="CharCharChar">
    <w:name w:val="Char Char Char"/>
    <w:basedOn w:val="Normal"/>
    <w:next w:val="Normal"/>
    <w:rsid w:val="00FF666D"/>
    <w:pPr>
      <w:suppressAutoHyphens/>
      <w:spacing w:before="120" w:after="120" w:line="312" w:lineRule="auto"/>
      <w:ind w:leftChars="-1" w:left="-1" w:hangingChars="1" w:hanging="1"/>
      <w:textDirection w:val="btLr"/>
      <w:textAlignment w:val="top"/>
      <w:outlineLvl w:val="0"/>
    </w:pPr>
    <w:rPr>
      <w:position w:val="-1"/>
    </w:rPr>
  </w:style>
  <w:style w:type="table" w:styleId="TableGrid">
    <w:name w:val="Table Grid"/>
    <w:basedOn w:val="TableNormal"/>
    <w:rsid w:val="00FF666D"/>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FF666D"/>
    <w:pPr>
      <w:suppressAutoHyphens/>
      <w:spacing w:after="160" w:line="240" w:lineRule="atLeast"/>
      <w:ind w:leftChars="-1" w:left="-1" w:hangingChars="1" w:hanging="1"/>
      <w:textDirection w:val="btLr"/>
      <w:textAlignment w:val="top"/>
      <w:outlineLvl w:val="0"/>
    </w:pPr>
    <w:rPr>
      <w:rFonts w:ascii="Arial" w:hAnsi="Arial"/>
      <w:position w:val="-1"/>
      <w:sz w:val="22"/>
      <w:szCs w:val="22"/>
    </w:rPr>
  </w:style>
  <w:style w:type="paragraph" w:styleId="BalloonText">
    <w:name w:val="Balloon Text"/>
    <w:basedOn w:val="Normal"/>
    <w:rsid w:val="00FF666D"/>
    <w:pPr>
      <w:suppressAutoHyphens/>
      <w:spacing w:line="1" w:lineRule="atLeast"/>
      <w:ind w:leftChars="-1" w:left="-1" w:hangingChars="1" w:hanging="1"/>
      <w:textDirection w:val="btLr"/>
      <w:textAlignment w:val="top"/>
      <w:outlineLvl w:val="0"/>
    </w:pPr>
    <w:rPr>
      <w:rFonts w:ascii="Tahoma" w:hAnsi="Tahoma" w:cs="Tahoma"/>
      <w:position w:val="-1"/>
      <w:sz w:val="16"/>
      <w:szCs w:val="16"/>
    </w:rPr>
  </w:style>
  <w:style w:type="paragraph" w:customStyle="1" w:styleId="CharCharCharCharCharCharCharCharCharCharCharCharCharCharCharChar">
    <w:name w:val="Char Char Char Char Char Char Char Char Char Char Char Char Char Char Char Char"/>
    <w:rsid w:val="00FF666D"/>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styleId="NormalWeb">
    <w:name w:val="Normal (Web)"/>
    <w:basedOn w:val="Normal"/>
    <w:rsid w:val="00FF666D"/>
    <w:pPr>
      <w:suppressAutoHyphens/>
      <w:spacing w:before="100" w:beforeAutospacing="1" w:after="100" w:afterAutospacing="1" w:line="1" w:lineRule="atLeast"/>
      <w:ind w:leftChars="-1" w:left="-1" w:hangingChars="1" w:hanging="1"/>
      <w:textDirection w:val="btLr"/>
      <w:textAlignment w:val="top"/>
      <w:outlineLvl w:val="0"/>
    </w:pPr>
    <w:rPr>
      <w:position w:val="-1"/>
      <w:sz w:val="24"/>
      <w:szCs w:val="24"/>
    </w:rPr>
  </w:style>
  <w:style w:type="character" w:customStyle="1" w:styleId="apple-converted-space">
    <w:name w:val="apple-converted-space"/>
    <w:basedOn w:val="DefaultParagraphFont"/>
    <w:rsid w:val="00FF666D"/>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siMbUpfqGQEoLUULS27YKE33IQ==">CgMxLjAaEwoBMBIOCgwIB0IIEgZDYXVkZXgaEwoBMRIOCgwIB0IIEgZDYXVkZXgaEwoBMhIOCgwIB0IIEgZDYXVkZXgyD2lkLm9yY2piNWJwcWZkcDIOaC5jYnN6ZTMzeTgwZ2I4AHIhMUpxaXNCSnFJZjVYRmY1Y0lTRXNzNDh2Ymp3Wi14QW84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TTTHBTP</dc:creator>
  <cp:lastModifiedBy>USER</cp:lastModifiedBy>
  <cp:revision>2</cp:revision>
  <dcterms:created xsi:type="dcterms:W3CDTF">2025-11-07T03:01:00Z</dcterms:created>
  <dcterms:modified xsi:type="dcterms:W3CDTF">2025-11-07T03:01:00Z</dcterms:modified>
</cp:coreProperties>
</file>