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E7BC7" w:rsidRPr="00C929B9" w:rsidRDefault="00947443">
      <w:pPr>
        <w:jc w:val="center"/>
        <w:rPr>
          <w:b/>
        </w:rPr>
      </w:pPr>
      <w:r w:rsidRPr="00C929B9">
        <w:rPr>
          <w:b/>
        </w:rPr>
        <w:t>CỘ</w:t>
      </w:r>
      <w:r w:rsidR="000E7BC7" w:rsidRPr="00C929B9">
        <w:rPr>
          <w:b/>
        </w:rPr>
        <w:t>NG HÒA XÃ HỘI CHỦ NGHĨA VIỆT NAM</w:t>
      </w:r>
    </w:p>
    <w:p w:rsidR="000E7BC7" w:rsidRPr="00C929B9" w:rsidRDefault="000E7BC7">
      <w:pPr>
        <w:jc w:val="center"/>
        <w:rPr>
          <w:b/>
        </w:rPr>
      </w:pPr>
      <w:r w:rsidRPr="00C929B9">
        <w:rPr>
          <w:b/>
        </w:rPr>
        <w:t>Độc lập - Tự do - Hạnh phúc</w:t>
      </w:r>
    </w:p>
    <w:p w:rsidR="000E7BC7" w:rsidRPr="00C929B9" w:rsidRDefault="002019E5">
      <w:pPr>
        <w:ind w:firstLine="709"/>
        <w:jc w:val="center"/>
      </w:pPr>
      <w:r w:rsidRPr="00C929B9">
        <w:rPr>
          <w:noProof/>
        </w:rPr>
        <mc:AlternateContent>
          <mc:Choice Requires="wps">
            <w:drawing>
              <wp:anchor distT="4294967294" distB="4294967294" distL="114300" distR="114300" simplePos="0" relativeHeight="251657216" behindDoc="0" locked="0" layoutInCell="1" allowOverlap="1">
                <wp:simplePos x="0" y="0"/>
                <wp:positionH relativeFrom="column">
                  <wp:posOffset>1889125</wp:posOffset>
                </wp:positionH>
                <wp:positionV relativeFrom="paragraph">
                  <wp:posOffset>28574</wp:posOffset>
                </wp:positionV>
                <wp:extent cx="1960245" cy="0"/>
                <wp:effectExtent l="0" t="0" r="1905"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1BBCAA" id="_x0000_t32" coordsize="21600,21600" o:spt="32" o:oned="t" path="m,l21600,21600e" filled="f">
                <v:path arrowok="t" fillok="f" o:connecttype="none"/>
                <o:lock v:ext="edit" shapetype="t"/>
              </v:shapetype>
              <v:shape id="AutoShape 2" o:spid="_x0000_s1026" type="#_x0000_t32" style="position:absolute;margin-left:148.75pt;margin-top:2.25pt;width:154.3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iWHQIAADs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"/>
            </w:pict>
          </mc:Fallback>
        </mc:AlternateContent>
      </w:r>
    </w:p>
    <w:p w:rsidR="000E7BC7" w:rsidRPr="00C929B9" w:rsidRDefault="000E7BC7" w:rsidP="004264EF">
      <w:pPr>
        <w:jc w:val="center"/>
        <w:rPr>
          <w:b/>
        </w:rPr>
      </w:pPr>
      <w:r w:rsidRPr="00C929B9">
        <w:rPr>
          <w:b/>
        </w:rPr>
        <w:t xml:space="preserve">BIÊN BẢN </w:t>
      </w:r>
      <w:r w:rsidR="0067649A" w:rsidRPr="00C929B9">
        <w:rPr>
          <w:b/>
        </w:rPr>
        <w:t>LÀM VIỆC</w:t>
      </w:r>
    </w:p>
    <w:p w:rsidR="00D02AFB" w:rsidRDefault="00D02AFB" w:rsidP="0079235D">
      <w:pPr>
        <w:jc w:val="center"/>
        <w:rPr>
          <w:b/>
          <w:color w:val="000000"/>
        </w:rPr>
      </w:pPr>
      <w:r>
        <w:rPr>
          <w:b/>
          <w:color w:val="000000"/>
        </w:rPr>
        <w:t>V</w:t>
      </w:r>
      <w:r w:rsidR="00A1011B" w:rsidRPr="00C929B9">
        <w:rPr>
          <w:b/>
          <w:color w:val="000000"/>
        </w:rPr>
        <w:t xml:space="preserve">ề việc điều chỉnh dự toán kinh phí thực hiện Đề án “Tăng cường quản lý đối với đất đai có nguồn gốc từ các nông lâm trường quốc doanh </w:t>
      </w:r>
    </w:p>
    <w:p w:rsidR="0067649A" w:rsidRPr="00C929B9" w:rsidRDefault="00A1011B" w:rsidP="0079235D">
      <w:pPr>
        <w:jc w:val="center"/>
        <w:rPr>
          <w:b/>
        </w:rPr>
      </w:pPr>
      <w:r w:rsidRPr="00C929B9">
        <w:rPr>
          <w:b/>
          <w:color w:val="000000"/>
        </w:rPr>
        <w:t xml:space="preserve">trên địa bàn tỉnh Lâm Đồng” </w:t>
      </w:r>
    </w:p>
    <w:p w:rsidR="007D74D2" w:rsidRPr="00C929B9" w:rsidRDefault="002019E5" w:rsidP="00586C50">
      <w:pPr>
        <w:spacing w:before="60"/>
        <w:jc w:val="center"/>
        <w:rPr>
          <w:b/>
        </w:rPr>
      </w:pPr>
      <w:r w:rsidRPr="00C929B9">
        <w:rPr>
          <w:b/>
          <w:noProof/>
        </w:rPr>
        <mc:AlternateContent>
          <mc:Choice Requires="wps">
            <w:drawing>
              <wp:anchor distT="4294967294" distB="4294967294" distL="114300" distR="114300" simplePos="0" relativeHeight="251658240" behindDoc="0" locked="0" layoutInCell="1" allowOverlap="1">
                <wp:simplePos x="0" y="0"/>
                <wp:positionH relativeFrom="column">
                  <wp:posOffset>1791970</wp:posOffset>
                </wp:positionH>
                <wp:positionV relativeFrom="paragraph">
                  <wp:posOffset>21590</wp:posOffset>
                </wp:positionV>
                <wp:extent cx="2111375" cy="0"/>
                <wp:effectExtent l="0" t="0" r="222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1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B7C191" id="_x0000_t32" coordsize="21600,21600" o:spt="32" o:oned="t" path="m,l21600,21600e" filled="f">
                <v:path arrowok="t" fillok="f" o:connecttype="none"/>
                <o:lock v:ext="edit" shapetype="t"/>
              </v:shapetype>
              <v:shape id="AutoShape 3" o:spid="_x0000_s1026" type="#_x0000_t32" style="position:absolute;margin-left:141.1pt;margin-top:1.7pt;width:166.2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Rhv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"/>
            </w:pict>
          </mc:Fallback>
        </mc:AlternateContent>
      </w:r>
    </w:p>
    <w:p w:rsidR="00DC5CB2" w:rsidRPr="00C929B9" w:rsidRDefault="00DC5CB2" w:rsidP="006301F2">
      <w:pPr>
        <w:spacing w:before="120" w:after="120"/>
        <w:ind w:firstLine="709"/>
        <w:jc w:val="both"/>
      </w:pPr>
    </w:p>
    <w:p w:rsidR="00DC5CB2" w:rsidRPr="00C929B9" w:rsidRDefault="00DC5CB2" w:rsidP="00DC5CB2">
      <w:pPr>
        <w:spacing w:before="120" w:after="120"/>
        <w:ind w:firstLine="709"/>
        <w:jc w:val="both"/>
      </w:pPr>
      <w:r w:rsidRPr="00C929B9">
        <w:t>Thực hiện chỉ đạo của Ủy ban nhân dân tỉnh tại Văn bản số 4032/UBND-ĐC ngày 21/5/2024 của Ủy ban nhân dân tỉnh về việc thẩm định điều chỉnh dự toán kinh phí thực hiện đề án “Tăng cường quản lý đối với đất đai có nguồn gốc từ các nông, lâm trường quốc doanh trên địa bàn tỉnh Lâm Đồng”.</w:t>
      </w:r>
    </w:p>
    <w:p w:rsidR="00FE00EE" w:rsidRPr="00C929B9" w:rsidRDefault="00A1011B" w:rsidP="006301F2">
      <w:pPr>
        <w:spacing w:before="120" w:after="120"/>
        <w:ind w:firstLine="720"/>
        <w:jc w:val="both"/>
      </w:pPr>
      <w:r w:rsidRPr="00C929B9">
        <w:t>Hôm này, v</w:t>
      </w:r>
      <w:r w:rsidR="006A2946" w:rsidRPr="00C929B9">
        <w:t xml:space="preserve">ào </w:t>
      </w:r>
      <w:r w:rsidR="00340799" w:rsidRPr="00C929B9">
        <w:t>lúc</w:t>
      </w:r>
      <w:r w:rsidR="00495657" w:rsidRPr="00C929B9">
        <w:t xml:space="preserve"> </w:t>
      </w:r>
      <w:r w:rsidR="0067649A" w:rsidRPr="00C929B9">
        <w:t>14</w:t>
      </w:r>
      <w:r w:rsidR="006A2946" w:rsidRPr="00C929B9">
        <w:t xml:space="preserve"> giờ </w:t>
      </w:r>
      <w:r w:rsidR="0067649A" w:rsidRPr="00C929B9">
        <w:t>0</w:t>
      </w:r>
      <w:r w:rsidR="0013539E" w:rsidRPr="00C929B9">
        <w:t>0</w:t>
      </w:r>
      <w:r w:rsidR="00FE00EE" w:rsidRPr="00C929B9">
        <w:t xml:space="preserve"> phút, ngày </w:t>
      </w:r>
      <w:r w:rsidR="00DC5CB2" w:rsidRPr="00C929B9">
        <w:t>04/6/2024</w:t>
      </w:r>
      <w:r w:rsidR="006A2946" w:rsidRPr="00C929B9">
        <w:t xml:space="preserve">; </w:t>
      </w:r>
      <w:r w:rsidR="00FE00EE" w:rsidRPr="00C929B9">
        <w:t xml:space="preserve">Sở Tài chính </w:t>
      </w:r>
      <w:r w:rsidRPr="00C929B9">
        <w:rPr>
          <w:color w:val="000000"/>
        </w:rPr>
        <w:t>tổ chức cuộc họp với thành phần và nội dung</w:t>
      </w:r>
      <w:r w:rsidR="00DC5CB2" w:rsidRPr="00C929B9">
        <w:rPr>
          <w:color w:val="000000"/>
        </w:rPr>
        <w:t xml:space="preserve"> </w:t>
      </w:r>
      <w:r w:rsidRPr="00C929B9">
        <w:rPr>
          <w:bCs/>
          <w:color w:val="000000"/>
        </w:rPr>
        <w:t>cụ thể như sau:</w:t>
      </w:r>
    </w:p>
    <w:p w:rsidR="000E7BC7" w:rsidRPr="00C929B9" w:rsidRDefault="000E7BC7" w:rsidP="006301F2">
      <w:pPr>
        <w:spacing w:before="120" w:after="120"/>
        <w:ind w:firstLine="709"/>
        <w:jc w:val="both"/>
        <w:rPr>
          <w:b/>
        </w:rPr>
      </w:pPr>
      <w:r w:rsidRPr="00C929B9">
        <w:tab/>
      </w:r>
      <w:r w:rsidRPr="00C929B9">
        <w:rPr>
          <w:b/>
        </w:rPr>
        <w:t>I. Thành phần tham dự</w:t>
      </w:r>
      <w:r w:rsidR="0067649A" w:rsidRPr="00C929B9">
        <w:rPr>
          <w:b/>
        </w:rPr>
        <w:t xml:space="preserve"> gồm</w:t>
      </w:r>
      <w:r w:rsidRPr="00C929B9">
        <w:rPr>
          <w:b/>
        </w:rPr>
        <w:t>:</w:t>
      </w:r>
    </w:p>
    <w:p w:rsidR="00370CD3" w:rsidRPr="00C929B9" w:rsidRDefault="000E7BC7" w:rsidP="006301F2">
      <w:pPr>
        <w:spacing w:before="120" w:after="120"/>
        <w:ind w:firstLine="709"/>
        <w:jc w:val="both"/>
        <w:rPr>
          <w:b/>
        </w:rPr>
      </w:pPr>
      <w:r w:rsidRPr="00C929B9">
        <w:tab/>
      </w:r>
      <w:r w:rsidR="0067649A" w:rsidRPr="00C929B9">
        <w:rPr>
          <w:b/>
        </w:rPr>
        <w:t>1. Đại diện Sở Tài chính</w:t>
      </w:r>
    </w:p>
    <w:p w:rsidR="0067649A" w:rsidRPr="00C929B9" w:rsidRDefault="008F0131" w:rsidP="006301F2">
      <w:pPr>
        <w:spacing w:before="120" w:after="120"/>
        <w:ind w:firstLine="709"/>
        <w:jc w:val="both"/>
      </w:pPr>
      <w:r w:rsidRPr="00C929B9">
        <w:t>- Bà Nguyễn Thị Thu Nga</w:t>
      </w:r>
      <w:r w:rsidRPr="00C929B9">
        <w:tab/>
      </w:r>
      <w:r w:rsidR="00A1011B" w:rsidRPr="00C929B9">
        <w:t>Phó trưởng Phòng Tài chính HCSN</w:t>
      </w:r>
      <w:r w:rsidR="0067649A" w:rsidRPr="00C929B9">
        <w:t>.</w:t>
      </w:r>
    </w:p>
    <w:p w:rsidR="00FE00EE" w:rsidRPr="00C929B9" w:rsidRDefault="000E7BC7" w:rsidP="00A1011B">
      <w:pPr>
        <w:spacing w:before="120" w:after="120"/>
        <w:ind w:firstLine="709"/>
        <w:jc w:val="both"/>
        <w:rPr>
          <w:b/>
        </w:rPr>
      </w:pPr>
      <w:r w:rsidRPr="00C929B9">
        <w:rPr>
          <w:b/>
        </w:rPr>
        <w:tab/>
        <w:t xml:space="preserve">2. </w:t>
      </w:r>
      <w:r w:rsidR="0067649A" w:rsidRPr="00C929B9">
        <w:rPr>
          <w:b/>
        </w:rPr>
        <w:t>Đại diện Sở Tài nguyên và Môi trường</w:t>
      </w:r>
    </w:p>
    <w:p w:rsidR="007F23BE" w:rsidRPr="00C929B9" w:rsidRDefault="00A1011B" w:rsidP="006301F2">
      <w:pPr>
        <w:spacing w:before="120" w:after="120"/>
        <w:ind w:firstLine="709"/>
      </w:pPr>
      <w:r w:rsidRPr="00C929B9">
        <w:t>- Ông Thái Văn Sơn</w:t>
      </w:r>
      <w:r w:rsidRPr="00C929B9">
        <w:tab/>
      </w:r>
      <w:r w:rsidRPr="00C929B9">
        <w:tab/>
        <w:t>Phó chánh</w:t>
      </w:r>
      <w:r w:rsidR="007F23BE" w:rsidRPr="00C929B9">
        <w:t xml:space="preserve"> Văn phòng Sở</w:t>
      </w:r>
      <w:r w:rsidRPr="00C929B9">
        <w:t>.</w:t>
      </w:r>
    </w:p>
    <w:p w:rsidR="00DC5CB2" w:rsidRPr="00F6398E" w:rsidRDefault="00DB7315" w:rsidP="00DC5CB2">
      <w:pPr>
        <w:spacing w:before="120" w:after="120"/>
        <w:ind w:firstLine="709"/>
        <w:rPr>
          <w:b/>
          <w:lang w:val="fr-FR"/>
        </w:rPr>
      </w:pPr>
      <w:r w:rsidRPr="00F6398E">
        <w:rPr>
          <w:b/>
          <w:lang w:val="fr-FR"/>
        </w:rPr>
        <w:t>3</w:t>
      </w:r>
      <w:r w:rsidR="00DC5CB2" w:rsidRPr="00F6398E">
        <w:rPr>
          <w:b/>
          <w:lang w:val="fr-FR"/>
        </w:rPr>
        <w:t>. Sở Nông nghiệp và Phát triển nông thôn</w:t>
      </w:r>
    </w:p>
    <w:p w:rsidR="00DC5CB2" w:rsidRPr="00C929B9" w:rsidRDefault="00DC5CB2" w:rsidP="00DC5CB2">
      <w:pPr>
        <w:spacing w:before="120" w:after="120"/>
        <w:ind w:firstLine="709"/>
        <w:rPr>
          <w:lang w:val="fr-FR"/>
        </w:rPr>
      </w:pPr>
      <w:r w:rsidRPr="00C929B9">
        <w:rPr>
          <w:lang w:val="fr-FR"/>
        </w:rPr>
        <w:t>- Ông</w:t>
      </w:r>
      <w:r w:rsidR="000A2077">
        <w:rPr>
          <w:lang w:val="fr-FR"/>
        </w:rPr>
        <w:t xml:space="preserve"> Hoàng Sỹ Hạnh</w:t>
      </w:r>
      <w:r w:rsidR="000A2077">
        <w:rPr>
          <w:lang w:val="fr-FR"/>
        </w:rPr>
        <w:tab/>
      </w:r>
      <w:r w:rsidR="000A2077">
        <w:rPr>
          <w:lang w:val="fr-FR"/>
        </w:rPr>
        <w:tab/>
        <w:t>Chuyên viên phòng KHTC</w:t>
      </w:r>
    </w:p>
    <w:p w:rsidR="008F0131" w:rsidRPr="00C929B9" w:rsidRDefault="0067649A" w:rsidP="00DC5CB2">
      <w:pPr>
        <w:spacing w:before="120" w:after="120"/>
        <w:ind w:firstLine="709"/>
        <w:jc w:val="both"/>
      </w:pPr>
      <w:r w:rsidRPr="00C929B9">
        <w:tab/>
      </w:r>
      <w:r w:rsidR="008F0131" w:rsidRPr="00C929B9">
        <w:rPr>
          <w:b/>
        </w:rPr>
        <w:t xml:space="preserve">II. Nội dung cuộc họp: </w:t>
      </w:r>
      <w:r w:rsidR="00A1011B" w:rsidRPr="00C929B9">
        <w:t>t</w:t>
      </w:r>
      <w:r w:rsidR="00A1011B" w:rsidRPr="00C929B9">
        <w:rPr>
          <w:color w:val="000000"/>
          <w:lang w:val="en-AU"/>
        </w:rPr>
        <w:t xml:space="preserve">rao đổi, thống nhất các nội dung liên quan đến việc đề xuất điều chỉnh dự toán </w:t>
      </w:r>
      <w:r w:rsidR="00A1011B" w:rsidRPr="00C929B9">
        <w:rPr>
          <w:color w:val="000000"/>
        </w:rPr>
        <w:t>kinh phí thực hiện Đề án “Tăng cường quản</w:t>
      </w:r>
      <w:r w:rsidR="00495657" w:rsidRPr="00C929B9">
        <w:rPr>
          <w:color w:val="000000"/>
        </w:rPr>
        <w:t xml:space="preserve"> lý đối với đất đai có nguồn gốc</w:t>
      </w:r>
      <w:r w:rsidR="00A1011B" w:rsidRPr="00C929B9">
        <w:rPr>
          <w:color w:val="000000"/>
        </w:rPr>
        <w:t xml:space="preserve"> từ các nông lâm trường quốc doanh trên địa bàn tỉnh Lâm Đồng”</w:t>
      </w:r>
      <w:r w:rsidR="008F0131" w:rsidRPr="00C929B9">
        <w:rPr>
          <w:lang w:val="vi-VN"/>
        </w:rPr>
        <w:t xml:space="preserve">, </w:t>
      </w:r>
      <w:r w:rsidR="00A1011B" w:rsidRPr="00C929B9">
        <w:t xml:space="preserve">làm cơ sở </w:t>
      </w:r>
      <w:r w:rsidR="008F0131" w:rsidRPr="00C929B9">
        <w:rPr>
          <w:lang w:val="vi-VN"/>
        </w:rPr>
        <w:t>báo cáo và đề xuất UBND tỉnh xem xét, phê duyệt</w:t>
      </w:r>
      <w:r w:rsidR="008F0131" w:rsidRPr="00C929B9">
        <w:t xml:space="preserve"> theo quy định. </w:t>
      </w:r>
    </w:p>
    <w:p w:rsidR="008F0131" w:rsidRPr="00C929B9" w:rsidRDefault="008F0131" w:rsidP="008F0131">
      <w:pPr>
        <w:tabs>
          <w:tab w:val="left" w:pos="4680"/>
        </w:tabs>
        <w:spacing w:before="120" w:after="120"/>
        <w:ind w:firstLine="709"/>
        <w:jc w:val="both"/>
        <w:rPr>
          <w:b/>
        </w:rPr>
      </w:pPr>
      <w:r w:rsidRPr="00C929B9">
        <w:rPr>
          <w:b/>
        </w:rPr>
        <w:t>III. Kết quả cuộc họp</w:t>
      </w:r>
    </w:p>
    <w:p w:rsidR="00817141" w:rsidRPr="00C929B9" w:rsidRDefault="008F0131" w:rsidP="008F0131">
      <w:pPr>
        <w:spacing w:before="120" w:after="120"/>
        <w:ind w:firstLine="720"/>
        <w:jc w:val="both"/>
      </w:pPr>
      <w:r w:rsidRPr="00C929B9">
        <w:rPr>
          <w:lang w:val="sv-SE"/>
        </w:rPr>
        <w:t xml:space="preserve">Sau khi </w:t>
      </w:r>
      <w:r w:rsidR="00E51E55" w:rsidRPr="00C929B9">
        <w:rPr>
          <w:lang w:val="sv-SE"/>
        </w:rPr>
        <w:t>Sở Tài chính thông qua nội dung,</w:t>
      </w:r>
      <w:r w:rsidRPr="00C929B9">
        <w:t xml:space="preserve"> các thành viên tham dự cuộc họp cùng </w:t>
      </w:r>
      <w:r w:rsidR="00E51E55" w:rsidRPr="00C929B9">
        <w:t>trao đổi</w:t>
      </w:r>
      <w:r w:rsidR="00FA5B8A">
        <w:t xml:space="preserve"> và</w:t>
      </w:r>
      <w:r w:rsidR="00E51E55" w:rsidRPr="00C929B9">
        <w:t xml:space="preserve"> </w:t>
      </w:r>
      <w:r w:rsidRPr="00C929B9">
        <w:t>thống nhất một số nội dung như sau:</w:t>
      </w:r>
    </w:p>
    <w:p w:rsidR="00817141" w:rsidRPr="00C929B9" w:rsidRDefault="00817141" w:rsidP="008F0131">
      <w:pPr>
        <w:spacing w:before="120" w:after="120"/>
        <w:ind w:firstLine="720"/>
        <w:jc w:val="both"/>
        <w:rPr>
          <w:lang w:val="sv-SE"/>
        </w:rPr>
      </w:pPr>
      <w:r w:rsidRPr="00C929B9">
        <w:rPr>
          <w:b/>
        </w:rPr>
        <w:t>1.</w:t>
      </w:r>
      <w:r w:rsidR="00E827D0" w:rsidRPr="00C929B9">
        <w:rPr>
          <w:b/>
        </w:rPr>
        <w:t xml:space="preserve"> </w:t>
      </w:r>
      <w:r w:rsidR="006317A2" w:rsidRPr="00C929B9">
        <w:rPr>
          <w:b/>
          <w:bCs/>
        </w:rPr>
        <w:t xml:space="preserve">Nội dung </w:t>
      </w:r>
      <w:r w:rsidR="007E2000" w:rsidRPr="00C929B9">
        <w:rPr>
          <w:b/>
          <w:bCs/>
        </w:rPr>
        <w:t>dự toán đã được phê duyệt</w:t>
      </w:r>
      <w:r w:rsidRPr="00C929B9">
        <w:rPr>
          <w:b/>
          <w:bCs/>
        </w:rPr>
        <w:t>:</w:t>
      </w:r>
    </w:p>
    <w:p w:rsidR="00A1011B" w:rsidRPr="00C929B9" w:rsidRDefault="00817141" w:rsidP="008F0131">
      <w:pPr>
        <w:spacing w:before="120" w:after="120"/>
        <w:ind w:firstLine="720"/>
        <w:jc w:val="both"/>
        <w:rPr>
          <w:bCs/>
        </w:rPr>
      </w:pPr>
      <w:r w:rsidRPr="00C929B9">
        <w:rPr>
          <w:lang w:val="sv-SE"/>
        </w:rPr>
        <w:t>D</w:t>
      </w:r>
      <w:r w:rsidRPr="00C929B9">
        <w:rPr>
          <w:bCs/>
        </w:rPr>
        <w:t>ự toán kinh phí thực hiện Đề án “Tăng cường quản lý đất đai có nguồn gốc từ các nông, lâm trường quốc doanh trên địa bàn tỉnh Lâm Đồng” đã được UBND tỉnh Lâm Đồng phê duyệt tại Quyết định số 1171/QĐ-UBND ngày 27/6/2022 với dự toán kinh phí thực hiện Đề án</w:t>
      </w:r>
      <w:r w:rsidR="00495657" w:rsidRPr="00C929B9">
        <w:rPr>
          <w:bCs/>
        </w:rPr>
        <w:t xml:space="preserve"> là</w:t>
      </w:r>
      <w:r w:rsidRPr="00C929B9">
        <w:rPr>
          <w:bCs/>
        </w:rPr>
        <w:t xml:space="preserve"> 305.565 triệu đồng, cụ thể như sau:</w:t>
      </w:r>
    </w:p>
    <w:p w:rsidR="00817141" w:rsidRPr="00C929B9" w:rsidRDefault="005C5057" w:rsidP="00817141">
      <w:pPr>
        <w:spacing w:before="120" w:after="120"/>
        <w:ind w:firstLine="720"/>
        <w:jc w:val="both"/>
        <w:rPr>
          <w:bCs/>
        </w:rPr>
      </w:pPr>
      <w:r w:rsidRPr="00C929B9">
        <w:rPr>
          <w:bCs/>
        </w:rPr>
        <w:t xml:space="preserve">- </w:t>
      </w:r>
      <w:r w:rsidR="00817141" w:rsidRPr="00C929B9">
        <w:rPr>
          <w:bCs/>
        </w:rPr>
        <w:t>Chi phí l</w:t>
      </w:r>
      <w:r w:rsidR="00817141" w:rsidRPr="00C929B9">
        <w:rPr>
          <w:lang w:val="da-DK"/>
        </w:rPr>
        <w:t xml:space="preserve">ập lưới địa chính; xác định đường ranh giới, cắm mốc ranh giới sử dụng đất; đo đạc đường ranh giới, mốc ranh giới; lập hồ sơ ranh giới sử dụng đất; đo đạc, lập bản đồ địa chính; đăng ký đất đai, cấp </w:t>
      </w:r>
      <w:r w:rsidR="00817141" w:rsidRPr="00C929B9">
        <w:rPr>
          <w:bCs/>
        </w:rPr>
        <w:t xml:space="preserve">Giấy chứng nhận quyền sử </w:t>
      </w:r>
      <w:r w:rsidR="00817141" w:rsidRPr="00C929B9">
        <w:rPr>
          <w:bCs/>
        </w:rPr>
        <w:lastRenderedPageBreak/>
        <w:t>dụng đất; xây dựng cơ sở dữ liệu địa chính đối với đất đai có nguồn gốc từ các nông, lâm trường quốc d</w:t>
      </w:r>
      <w:r w:rsidRPr="00C929B9">
        <w:rPr>
          <w:bCs/>
        </w:rPr>
        <w:t>oanh trên địa bàn tỉnh Lâm Đồng: 291.377 triệu đồng;</w:t>
      </w:r>
    </w:p>
    <w:p w:rsidR="005C5057" w:rsidRPr="00C929B9" w:rsidRDefault="005C5057" w:rsidP="00817141">
      <w:pPr>
        <w:spacing w:before="120" w:after="120"/>
        <w:ind w:firstLine="720"/>
        <w:jc w:val="both"/>
        <w:rPr>
          <w:bCs/>
        </w:rPr>
      </w:pPr>
      <w:r w:rsidRPr="00C929B9">
        <w:rPr>
          <w:bCs/>
        </w:rPr>
        <w:t>- Chi phí kiểm tra, nghiệm thu: 11.420 triệu đồng;</w:t>
      </w:r>
    </w:p>
    <w:p w:rsidR="005C5057" w:rsidRPr="00C929B9" w:rsidRDefault="005C5057" w:rsidP="00817141">
      <w:pPr>
        <w:spacing w:before="120" w:after="120"/>
        <w:ind w:firstLine="720"/>
        <w:jc w:val="both"/>
        <w:rPr>
          <w:bCs/>
        </w:rPr>
      </w:pPr>
      <w:r w:rsidRPr="00C929B9">
        <w:rPr>
          <w:bCs/>
        </w:rPr>
        <w:t>- Chi phí khảo sát, thiết kế lập dự toán (đã thực hiện): 2.568 triệu đồng;</w:t>
      </w:r>
    </w:p>
    <w:p w:rsidR="005C5057" w:rsidRPr="00C929B9" w:rsidRDefault="005C5057" w:rsidP="00817141">
      <w:pPr>
        <w:spacing w:before="120" w:after="120"/>
        <w:ind w:firstLine="720"/>
        <w:jc w:val="both"/>
        <w:rPr>
          <w:bCs/>
        </w:rPr>
      </w:pPr>
      <w:r w:rsidRPr="00C929B9">
        <w:rPr>
          <w:bCs/>
        </w:rPr>
        <w:t>- Chi phí tổ chức lựa chọn nhà thầu: 200 triệu đồng.</w:t>
      </w:r>
    </w:p>
    <w:p w:rsidR="00506F80" w:rsidRPr="00FA5B8A" w:rsidRDefault="00E76F9F" w:rsidP="00AD7747">
      <w:pPr>
        <w:spacing w:before="120" w:after="120"/>
        <w:ind w:firstLine="720"/>
        <w:jc w:val="both"/>
        <w:rPr>
          <w:b/>
          <w:color w:val="000000" w:themeColor="text1"/>
          <w:lang w:val="sv-SE"/>
        </w:rPr>
      </w:pPr>
      <w:r w:rsidRPr="00FA5B8A">
        <w:rPr>
          <w:b/>
          <w:color w:val="000000" w:themeColor="text1"/>
          <w:lang w:val="sv-SE"/>
        </w:rPr>
        <w:t xml:space="preserve">2. </w:t>
      </w:r>
      <w:r w:rsidR="000073A4" w:rsidRPr="00FA5B8A">
        <w:rPr>
          <w:b/>
          <w:color w:val="000000" w:themeColor="text1"/>
          <w:lang w:val="sv-SE"/>
        </w:rPr>
        <w:t>Dự toán rà soát đề nghị điều chỉnh</w:t>
      </w:r>
      <w:r w:rsidR="00C929B9" w:rsidRPr="00FA5B8A">
        <w:rPr>
          <w:b/>
          <w:color w:val="000000" w:themeColor="text1"/>
          <w:lang w:val="sv-SE"/>
        </w:rPr>
        <w:t>:</w:t>
      </w:r>
    </w:p>
    <w:p w:rsidR="00542547" w:rsidRPr="00FA5B8A" w:rsidRDefault="00E76F9F" w:rsidP="00542547">
      <w:pPr>
        <w:spacing w:before="120" w:after="120"/>
        <w:ind w:firstLine="720"/>
        <w:jc w:val="both"/>
        <w:rPr>
          <w:bCs/>
          <w:color w:val="000000" w:themeColor="text1"/>
        </w:rPr>
      </w:pPr>
      <w:r w:rsidRPr="00FA5B8A">
        <w:rPr>
          <w:color w:val="000000" w:themeColor="text1"/>
          <w:lang w:val="sv-SE"/>
        </w:rPr>
        <w:t xml:space="preserve">Thực hiện kết luận số 85/KL-TTr ngày 25/3/2024 của Thanh tra tỉnh Lâm Đồng Kết luận thanh </w:t>
      </w:r>
      <w:r w:rsidR="00542547" w:rsidRPr="00FA5B8A">
        <w:rPr>
          <w:color w:val="000000" w:themeColor="text1"/>
          <w:lang w:val="sv-SE"/>
        </w:rPr>
        <w:t xml:space="preserve">công tác đấu thầu và thực hiện Đề án </w:t>
      </w:r>
      <w:r w:rsidR="00542547" w:rsidRPr="00FA5B8A">
        <w:rPr>
          <w:bCs/>
          <w:color w:val="000000" w:themeColor="text1"/>
        </w:rPr>
        <w:t>“Tăng cường quản lý đất đai có nguồn gốc từ các nông, lâm trường quốc doanh trên địa bàn tỉnh Lâm Đồng”; trong đó Mục IV kiến nghị như sau:</w:t>
      </w:r>
    </w:p>
    <w:p w:rsidR="00542547" w:rsidRPr="00C929B9" w:rsidRDefault="00542547" w:rsidP="00542547">
      <w:pPr>
        <w:spacing w:before="120" w:after="120"/>
        <w:ind w:firstLine="720"/>
        <w:jc w:val="both"/>
        <w:rPr>
          <w:bCs/>
          <w:i/>
        </w:rPr>
      </w:pPr>
      <w:r w:rsidRPr="00C929B9">
        <w:rPr>
          <w:bCs/>
        </w:rPr>
        <w:t xml:space="preserve">Sở Tài nguyên và Môi trường: </w:t>
      </w:r>
      <w:r w:rsidRPr="00C929B9">
        <w:rPr>
          <w:bCs/>
          <w:i/>
        </w:rPr>
        <w:t xml:space="preserve">“Kiểm tra, rà soát </w:t>
      </w:r>
      <w:r w:rsidR="000073A4" w:rsidRPr="00C929B9">
        <w:rPr>
          <w:bCs/>
          <w:i/>
        </w:rPr>
        <w:t>lại dự toán kinh phí thực hiên Đ</w:t>
      </w:r>
      <w:r w:rsidRPr="00C929B9">
        <w:rPr>
          <w:bCs/>
          <w:i/>
        </w:rPr>
        <w:t>ề án theo đúng quy định để bá</w:t>
      </w:r>
      <w:r w:rsidR="000073A4" w:rsidRPr="00C929B9">
        <w:rPr>
          <w:bCs/>
          <w:i/>
        </w:rPr>
        <w:t>o cáo UBND tỉnh phê duyệt điều ch</w:t>
      </w:r>
      <w:r w:rsidRPr="00C929B9">
        <w:rPr>
          <w:bCs/>
          <w:i/>
        </w:rPr>
        <w:t>ỉnh dự toán các gói thầu…</w:t>
      </w:r>
      <w:r w:rsidR="000073A4" w:rsidRPr="00C929B9">
        <w:rPr>
          <w:bCs/>
          <w:i/>
        </w:rPr>
        <w:t>”.</w:t>
      </w:r>
    </w:p>
    <w:p w:rsidR="00E76F9F" w:rsidRPr="00C929B9" w:rsidRDefault="00542547" w:rsidP="00AD7747">
      <w:pPr>
        <w:spacing w:before="120" w:after="120"/>
        <w:ind w:firstLine="720"/>
        <w:jc w:val="both"/>
        <w:rPr>
          <w:bCs/>
        </w:rPr>
      </w:pPr>
      <w:r w:rsidRPr="00C929B9">
        <w:rPr>
          <w:bCs/>
        </w:rPr>
        <w:t xml:space="preserve">Sở Tài chính: </w:t>
      </w:r>
      <w:r w:rsidRPr="00C929B9">
        <w:rPr>
          <w:bCs/>
          <w:i/>
        </w:rPr>
        <w:t>“Sau khi Sở Tài nguyên và Môi trường lập điều chỉnh dự toán, Sở Tài chính thực hiện thẩm định trước khi trình UBND tỉnh phê duyệt…”</w:t>
      </w:r>
      <w:r w:rsidRPr="00C929B9">
        <w:rPr>
          <w:bCs/>
        </w:rPr>
        <w:t>.</w:t>
      </w:r>
    </w:p>
    <w:p w:rsidR="000073A4" w:rsidRPr="00C929B9" w:rsidRDefault="00542547" w:rsidP="000073A4">
      <w:pPr>
        <w:spacing w:before="120" w:after="120"/>
        <w:ind w:firstLine="720"/>
        <w:jc w:val="both"/>
        <w:rPr>
          <w:bCs/>
          <w:i/>
          <w:color w:val="000000" w:themeColor="text1"/>
        </w:rPr>
      </w:pPr>
      <w:r w:rsidRPr="00C929B9">
        <w:rPr>
          <w:bCs/>
        </w:rPr>
        <w:t xml:space="preserve">Thực hiện kiến nghị </w:t>
      </w:r>
      <w:r w:rsidR="000073A4" w:rsidRPr="00C929B9">
        <w:rPr>
          <w:bCs/>
        </w:rPr>
        <w:t>nêu trên, Sở Tài nguyên và Môi trường đã rà soát lại dự toán</w:t>
      </w:r>
      <w:r w:rsidR="00DE54AF" w:rsidRPr="00C929B9">
        <w:rPr>
          <w:bCs/>
        </w:rPr>
        <w:t xml:space="preserve"> và xác định</w:t>
      </w:r>
      <w:r w:rsidR="000073A4" w:rsidRPr="00C929B9">
        <w:rPr>
          <w:bCs/>
        </w:rPr>
        <w:t xml:space="preserve"> tổng kinh phí thực hiện</w:t>
      </w:r>
      <w:r w:rsidR="000073A4" w:rsidRPr="00C929B9">
        <w:rPr>
          <w:bCs/>
          <w:color w:val="000000" w:themeColor="text1"/>
        </w:rPr>
        <w:t xml:space="preserve"> Đề án giảm từ 305.565 triệu đồng xuống còn </w:t>
      </w:r>
      <w:r w:rsidR="000073A4" w:rsidRPr="00114D9F">
        <w:rPr>
          <w:bCs/>
          <w:color w:val="000000" w:themeColor="text1"/>
        </w:rPr>
        <w:t>285.5</w:t>
      </w:r>
      <w:r w:rsidR="008E29D9" w:rsidRPr="00114D9F">
        <w:rPr>
          <w:bCs/>
          <w:color w:val="000000" w:themeColor="text1"/>
        </w:rPr>
        <w:t>38</w:t>
      </w:r>
      <w:r w:rsidR="000073A4" w:rsidRPr="00114D9F">
        <w:rPr>
          <w:bCs/>
          <w:color w:val="000000" w:themeColor="text1"/>
        </w:rPr>
        <w:t xml:space="preserve"> triệu đồng </w:t>
      </w:r>
      <w:r w:rsidR="000073A4" w:rsidRPr="00114D9F">
        <w:rPr>
          <w:bCs/>
          <w:i/>
          <w:color w:val="000000" w:themeColor="text1"/>
        </w:rPr>
        <w:t>(giảm 20.02</w:t>
      </w:r>
      <w:r w:rsidR="008E29D9" w:rsidRPr="00114D9F">
        <w:rPr>
          <w:bCs/>
          <w:i/>
          <w:color w:val="000000" w:themeColor="text1"/>
        </w:rPr>
        <w:t>7</w:t>
      </w:r>
      <w:r w:rsidR="000073A4" w:rsidRPr="00114D9F">
        <w:rPr>
          <w:bCs/>
          <w:i/>
          <w:color w:val="000000" w:themeColor="text1"/>
        </w:rPr>
        <w:t xml:space="preserve"> triệu </w:t>
      </w:r>
      <w:r w:rsidR="000073A4" w:rsidRPr="00C929B9">
        <w:rPr>
          <w:bCs/>
          <w:i/>
          <w:color w:val="000000" w:themeColor="text1"/>
        </w:rPr>
        <w:t>đồng so với dự toán đã được UBND tỉnh phê duyệt tại Quyết định số 1171/QĐ-UBND ngày 27/6/2022), cụ thể như sau:</w:t>
      </w:r>
    </w:p>
    <w:p w:rsidR="000073A4" w:rsidRPr="00114D9F" w:rsidRDefault="000073A4" w:rsidP="000073A4">
      <w:pPr>
        <w:spacing w:before="120" w:after="120"/>
        <w:ind w:firstLine="720"/>
        <w:jc w:val="both"/>
        <w:rPr>
          <w:bCs/>
          <w:color w:val="000000" w:themeColor="text1"/>
        </w:rPr>
      </w:pPr>
      <w:r w:rsidRPr="00C929B9">
        <w:rPr>
          <w:bCs/>
        </w:rPr>
        <w:t>- Chi phí l</w:t>
      </w:r>
      <w:r w:rsidRPr="00C929B9">
        <w:rPr>
          <w:lang w:val="da-DK"/>
        </w:rPr>
        <w:t xml:space="preserve">ập lưới địa chính; xác định đường ranh giới, cắm mốc ranh giới sử dụng đất; đo đạc đường ranh giới, mốc ranh giới; lập hồ sơ ranh giới sử dụng đất; đo đạc, lập bản đồ địa chính; đăng ký đất đai, cấp </w:t>
      </w:r>
      <w:r w:rsidRPr="00C929B9">
        <w:rPr>
          <w:bCs/>
        </w:rPr>
        <w:t>Giấy chứng nhận quyền sử dụng đất; xây dựng cơ sở dữ liệu địa chính đối với đất đai có nguồn gốc từ các nông, lâm trường quốc doanh trên địa bàn tỉnh Lâm Đồng</w:t>
      </w:r>
      <w:r w:rsidRPr="00114D9F">
        <w:rPr>
          <w:bCs/>
          <w:color w:val="000000" w:themeColor="text1"/>
        </w:rPr>
        <w:t>: 272.12</w:t>
      </w:r>
      <w:r w:rsidR="008E29D9" w:rsidRPr="00114D9F">
        <w:rPr>
          <w:bCs/>
          <w:color w:val="000000" w:themeColor="text1"/>
        </w:rPr>
        <w:t>1</w:t>
      </w:r>
      <w:r w:rsidRPr="00114D9F">
        <w:rPr>
          <w:bCs/>
          <w:color w:val="000000" w:themeColor="text1"/>
        </w:rPr>
        <w:t xml:space="preserve"> triệu đồng (giảm 19.25</w:t>
      </w:r>
      <w:r w:rsidR="008E29D9" w:rsidRPr="00114D9F">
        <w:rPr>
          <w:bCs/>
          <w:color w:val="000000" w:themeColor="text1"/>
        </w:rPr>
        <w:t>6</w:t>
      </w:r>
      <w:r w:rsidRPr="00114D9F">
        <w:rPr>
          <w:bCs/>
          <w:color w:val="000000" w:themeColor="text1"/>
        </w:rPr>
        <w:t xml:space="preserve"> triệu đồng);</w:t>
      </w:r>
    </w:p>
    <w:p w:rsidR="000073A4" w:rsidRPr="00C929B9" w:rsidRDefault="000073A4" w:rsidP="000073A4">
      <w:pPr>
        <w:spacing w:before="120" w:after="120"/>
        <w:ind w:firstLine="720"/>
        <w:jc w:val="both"/>
        <w:rPr>
          <w:bCs/>
        </w:rPr>
      </w:pPr>
      <w:r w:rsidRPr="00C929B9">
        <w:rPr>
          <w:bCs/>
        </w:rPr>
        <w:t>- Chi phí kiểm tra, nghiệm thu: 10.649 triệu đồng (giảm 771 triệu đồng);</w:t>
      </w:r>
    </w:p>
    <w:p w:rsidR="000073A4" w:rsidRPr="00C929B9" w:rsidRDefault="000073A4" w:rsidP="000073A4">
      <w:pPr>
        <w:spacing w:before="120" w:after="120"/>
        <w:ind w:firstLine="720"/>
        <w:jc w:val="both"/>
        <w:rPr>
          <w:bCs/>
        </w:rPr>
      </w:pPr>
      <w:r w:rsidRPr="00C929B9">
        <w:rPr>
          <w:bCs/>
        </w:rPr>
        <w:t>- Chi phí khảo sát, thiết kế lập dự toán (đã thực hiện): 2.568 triệu đồng;</w:t>
      </w:r>
    </w:p>
    <w:p w:rsidR="000073A4" w:rsidRPr="00C929B9" w:rsidRDefault="000073A4" w:rsidP="000073A4">
      <w:pPr>
        <w:spacing w:before="120" w:after="120"/>
        <w:ind w:firstLine="720"/>
        <w:jc w:val="both"/>
        <w:rPr>
          <w:bCs/>
        </w:rPr>
      </w:pPr>
      <w:r w:rsidRPr="00C929B9">
        <w:rPr>
          <w:bCs/>
        </w:rPr>
        <w:t>- Chi phí tổ chức lựa chọn nhà thầu (đã thực hiện): 200 triệu đồng.</w:t>
      </w:r>
    </w:p>
    <w:p w:rsidR="00841B4D" w:rsidRPr="00D02AFB" w:rsidRDefault="00DE54AF" w:rsidP="00AD7747">
      <w:pPr>
        <w:spacing w:before="120" w:after="120"/>
        <w:ind w:firstLine="720"/>
        <w:jc w:val="both"/>
        <w:rPr>
          <w:lang w:val="sv-SE"/>
        </w:rPr>
      </w:pPr>
      <w:r w:rsidRPr="00D02AFB">
        <w:rPr>
          <w:lang w:val="sv-SE"/>
        </w:rPr>
        <w:t>*Thuyết minh chênh lệch giảm:</w:t>
      </w:r>
    </w:p>
    <w:p w:rsidR="00803A05" w:rsidRPr="00C929B9" w:rsidRDefault="00DE54AF" w:rsidP="00AD7747">
      <w:pPr>
        <w:spacing w:before="120" w:after="120"/>
        <w:ind w:firstLine="720"/>
        <w:jc w:val="both"/>
        <w:rPr>
          <w:bCs/>
          <w:i/>
          <w:iCs/>
          <w:noProof/>
        </w:rPr>
      </w:pPr>
      <w:r w:rsidRPr="00C929B9">
        <w:rPr>
          <w:bCs/>
          <w:iCs/>
          <w:noProof/>
        </w:rPr>
        <w:t xml:space="preserve">Tại tiết 3.4.1 điểm 3.1 khoản 3 Phần III </w:t>
      </w:r>
      <w:r w:rsidR="00841B4D" w:rsidRPr="00C929B9">
        <w:rPr>
          <w:bCs/>
          <w:iCs/>
          <w:noProof/>
          <w:color w:val="000000" w:themeColor="text1"/>
        </w:rPr>
        <w:t xml:space="preserve">Định mức kinh tế - kỹ thuật xác định đường địa giới hành chính, cắm mốc địa giới và lập hồ sơ địa giới hành chính các cấp ban hành kèm theo Thông tư số 49/2014/TT-BTNMT </w:t>
      </w:r>
      <w:r w:rsidR="00841B4D" w:rsidRPr="00C929B9">
        <w:rPr>
          <w:bCs/>
          <w:color w:val="000000" w:themeColor="text1"/>
        </w:rPr>
        <w:t>ngày 22/8/2014 của Bộ trưởng Bộ Tài nguyên và Môi trường</w:t>
      </w:r>
      <w:r w:rsidRPr="00C929B9">
        <w:rPr>
          <w:bCs/>
          <w:color w:val="000000" w:themeColor="text1"/>
        </w:rPr>
        <w:t xml:space="preserve">, </w:t>
      </w:r>
      <w:r w:rsidR="00803A05" w:rsidRPr="00C929B9">
        <w:rPr>
          <w:bCs/>
          <w:iCs/>
          <w:noProof/>
        </w:rPr>
        <w:t xml:space="preserve">quy định: </w:t>
      </w:r>
      <w:r w:rsidR="00803A05" w:rsidRPr="00C929B9">
        <w:rPr>
          <w:bCs/>
          <w:i/>
          <w:iCs/>
          <w:noProof/>
        </w:rPr>
        <w:t>Đúc mốc, chôn mốc và vẽ sơ đồ vị trí mốc ĐGHC: tính cho 01 điểm (01 mốc)</w:t>
      </w:r>
      <w:r w:rsidR="00C929B9" w:rsidRPr="00C929B9">
        <w:rPr>
          <w:bCs/>
          <w:i/>
          <w:iCs/>
          <w:noProof/>
        </w:rPr>
        <w:t>.</w:t>
      </w:r>
    </w:p>
    <w:p w:rsidR="00014909" w:rsidRPr="00C929B9" w:rsidRDefault="00841B4D" w:rsidP="00AD7747">
      <w:pPr>
        <w:spacing w:before="120" w:after="120"/>
        <w:ind w:firstLine="720"/>
        <w:jc w:val="both"/>
        <w:rPr>
          <w:bCs/>
          <w:iCs/>
          <w:noProof/>
        </w:rPr>
      </w:pPr>
      <w:r w:rsidRPr="00C929B9">
        <w:rPr>
          <w:bCs/>
          <w:color w:val="000000" w:themeColor="text1"/>
        </w:rPr>
        <w:t xml:space="preserve">Đơn giá </w:t>
      </w:r>
      <w:r w:rsidR="00803A05" w:rsidRPr="00C929B9">
        <w:rPr>
          <w:bCs/>
          <w:color w:val="000000" w:themeColor="text1"/>
        </w:rPr>
        <w:t xml:space="preserve">vật liệu xây dựng </w:t>
      </w:r>
      <w:r w:rsidR="00014909" w:rsidRPr="00C929B9">
        <w:rPr>
          <w:bCs/>
          <w:color w:val="000000" w:themeColor="text1"/>
        </w:rPr>
        <w:t>(trong đó bao gồm đơn giá gỗ cốp pha) áp dụng theo Quyết định số 877/QĐ-UBND ngày 23/4/2019 của UBND tỉnh về việc ban hành đơn giá đo đạc bản đồ địa chính trên địa bàn tỉnh Lâm Đồng, trong đó giá gỗ cốp pha có đơn giá 2.272.727 m</w:t>
      </w:r>
      <w:r w:rsidR="007D7B17" w:rsidRPr="00114D9F">
        <w:rPr>
          <w:bCs/>
          <w:color w:val="000000" w:themeColor="text1"/>
          <w:vertAlign w:val="superscript"/>
        </w:rPr>
        <w:t>3</w:t>
      </w:r>
      <w:r w:rsidR="00C929B9" w:rsidRPr="00C929B9">
        <w:rPr>
          <w:bCs/>
          <w:color w:val="000000" w:themeColor="text1"/>
        </w:rPr>
        <w:t>. T</w:t>
      </w:r>
      <w:r w:rsidR="00014909" w:rsidRPr="00C929B9">
        <w:rPr>
          <w:bCs/>
          <w:color w:val="000000" w:themeColor="text1"/>
        </w:rPr>
        <w:t>uy nhiên theo định mức quy định tại điểm 3.4.1</w:t>
      </w:r>
      <w:r w:rsidR="00014909" w:rsidRPr="00C929B9">
        <w:rPr>
          <w:bCs/>
          <w:iCs/>
          <w:noProof/>
        </w:rPr>
        <w:t xml:space="preserve"> điểm 3.1 khoản 3 Phần III định mức kinh tế - kỹ thuật xác định đường địa </w:t>
      </w:r>
      <w:r w:rsidR="00014909" w:rsidRPr="00C929B9">
        <w:rPr>
          <w:bCs/>
          <w:iCs/>
          <w:noProof/>
        </w:rPr>
        <w:lastRenderedPageBreak/>
        <w:t>giới hành chính, cắm mốc địa giới và lập hồ sơ địa giới hành chính các cấp ban hành kèm theo Thông tư số 49/2014/TT-BTNMT, quy định: “ gỗ cốp pha (khuôn mốc) đơn vị tính cho 1 điểm mốc là m</w:t>
      </w:r>
      <w:r w:rsidR="00014909" w:rsidRPr="00C929B9">
        <w:rPr>
          <w:bCs/>
          <w:iCs/>
          <w:noProof/>
          <w:vertAlign w:val="superscript"/>
        </w:rPr>
        <w:t>2</w:t>
      </w:r>
      <w:r w:rsidR="000073A4" w:rsidRPr="00C929B9">
        <w:rPr>
          <w:bCs/>
          <w:iCs/>
          <w:noProof/>
        </w:rPr>
        <w:t>.</w:t>
      </w:r>
      <w:r w:rsidR="00014909" w:rsidRPr="00C929B9">
        <w:rPr>
          <w:bCs/>
          <w:iCs/>
          <w:noProof/>
        </w:rPr>
        <w:t xml:space="preserve"> </w:t>
      </w:r>
      <w:r w:rsidR="000073A4" w:rsidRPr="00C929B9">
        <w:rPr>
          <w:bCs/>
          <w:iCs/>
          <w:noProof/>
        </w:rPr>
        <w:t>D</w:t>
      </w:r>
      <w:r w:rsidR="00014909" w:rsidRPr="00C929B9">
        <w:rPr>
          <w:bCs/>
          <w:iCs/>
          <w:noProof/>
        </w:rPr>
        <w:t>o vậy, Sở Tài nguyên và Môi trường</w:t>
      </w:r>
      <w:r w:rsidR="00B93083" w:rsidRPr="00C929B9">
        <w:rPr>
          <w:bCs/>
          <w:iCs/>
          <w:noProof/>
        </w:rPr>
        <w:t xml:space="preserve"> đã thực hiện việc quy đổi từ m</w:t>
      </w:r>
      <w:r w:rsidR="00B93083" w:rsidRPr="00EA7A0A">
        <w:rPr>
          <w:bCs/>
          <w:iCs/>
          <w:noProof/>
          <w:vertAlign w:val="superscript"/>
        </w:rPr>
        <w:t>3</w:t>
      </w:r>
      <w:r w:rsidR="00B93083" w:rsidRPr="00C929B9">
        <w:rPr>
          <w:bCs/>
          <w:iCs/>
          <w:noProof/>
        </w:rPr>
        <w:t xml:space="preserve"> sang m</w:t>
      </w:r>
      <w:r w:rsidR="00B93083" w:rsidRPr="00EA7A0A">
        <w:rPr>
          <w:bCs/>
          <w:iCs/>
          <w:noProof/>
          <w:vertAlign w:val="superscript"/>
        </w:rPr>
        <w:t>2</w:t>
      </w:r>
      <w:r w:rsidR="00B93083" w:rsidRPr="00C929B9">
        <w:rPr>
          <w:bCs/>
          <w:iCs/>
          <w:noProof/>
        </w:rPr>
        <w:t xml:space="preserve"> </w:t>
      </w:r>
      <w:r w:rsidR="00014909" w:rsidRPr="00C929B9">
        <w:rPr>
          <w:bCs/>
          <w:iCs/>
          <w:noProof/>
        </w:rPr>
        <w:t>và qua th</w:t>
      </w:r>
      <w:r w:rsidR="000439E4" w:rsidRPr="00C929B9">
        <w:rPr>
          <w:bCs/>
          <w:iCs/>
          <w:noProof/>
        </w:rPr>
        <w:t>am khảo thực tế kích thước gỗ cố</w:t>
      </w:r>
      <w:r w:rsidR="00014909" w:rsidRPr="00C929B9">
        <w:rPr>
          <w:bCs/>
          <w:iCs/>
          <w:noProof/>
        </w:rPr>
        <w:t xml:space="preserve">p pha trên thị trường </w:t>
      </w:r>
      <w:r w:rsidR="000439E4" w:rsidRPr="00C929B9">
        <w:rPr>
          <w:bCs/>
          <w:iCs/>
          <w:noProof/>
        </w:rPr>
        <w:t xml:space="preserve">có độ dày </w:t>
      </w:r>
      <w:r w:rsidR="00014909" w:rsidRPr="00C929B9">
        <w:rPr>
          <w:bCs/>
          <w:iCs/>
          <w:noProof/>
        </w:rPr>
        <w:t xml:space="preserve">có độ dày từ </w:t>
      </w:r>
      <w:r w:rsidR="00B93083" w:rsidRPr="00C929B9">
        <w:rPr>
          <w:bCs/>
          <w:iCs/>
          <w:noProof/>
        </w:rPr>
        <w:t>2</w:t>
      </w:r>
      <w:r w:rsidR="00014909" w:rsidRPr="00C929B9">
        <w:rPr>
          <w:bCs/>
          <w:iCs/>
          <w:noProof/>
        </w:rPr>
        <w:t>-3cm</w:t>
      </w:r>
      <w:r w:rsidR="000439E4" w:rsidRPr="00C929B9">
        <w:rPr>
          <w:bCs/>
          <w:iCs/>
          <w:noProof/>
        </w:rPr>
        <w:t xml:space="preserve"> (</w:t>
      </w:r>
      <w:r w:rsidR="00E51E55" w:rsidRPr="00C929B9">
        <w:rPr>
          <w:bCs/>
          <w:iCs/>
          <w:noProof/>
        </w:rPr>
        <w:t xml:space="preserve">dự toán điều chỉnh </w:t>
      </w:r>
      <w:r w:rsidR="000439E4" w:rsidRPr="00C929B9">
        <w:rPr>
          <w:bCs/>
          <w:iCs/>
          <w:noProof/>
        </w:rPr>
        <w:t>tính</w:t>
      </w:r>
      <w:r w:rsidR="000073A4" w:rsidRPr="00C929B9">
        <w:rPr>
          <w:bCs/>
          <w:iCs/>
          <w:noProof/>
        </w:rPr>
        <w:t xml:space="preserve"> độ dày</w:t>
      </w:r>
      <w:r w:rsidR="000439E4" w:rsidRPr="00C929B9">
        <w:rPr>
          <w:bCs/>
          <w:iCs/>
          <w:noProof/>
        </w:rPr>
        <w:t xml:space="preserve"> 2cm), </w:t>
      </w:r>
      <w:r w:rsidR="00B93083" w:rsidRPr="00C929B9">
        <w:rPr>
          <w:bCs/>
          <w:iCs/>
          <w:noProof/>
        </w:rPr>
        <w:t xml:space="preserve">tính </w:t>
      </w:r>
      <w:r w:rsidR="000439E4" w:rsidRPr="00C929B9">
        <w:rPr>
          <w:bCs/>
          <w:iCs/>
          <w:noProof/>
        </w:rPr>
        <w:t>quy đổi như sau:</w:t>
      </w:r>
    </w:p>
    <w:p w:rsidR="000439E4" w:rsidRPr="00C929B9" w:rsidRDefault="000439E4" w:rsidP="00AD7747">
      <w:pPr>
        <w:spacing w:before="120" w:after="120"/>
        <w:ind w:firstLine="720"/>
        <w:jc w:val="both"/>
        <w:rPr>
          <w:bCs/>
          <w:iCs/>
          <w:noProof/>
          <w:color w:val="000000" w:themeColor="text1"/>
        </w:rPr>
      </w:pPr>
      <w:r w:rsidRPr="00C929B9">
        <w:rPr>
          <w:bCs/>
          <w:iCs/>
          <w:noProof/>
          <w:color w:val="000000" w:themeColor="text1"/>
        </w:rPr>
        <w:t>Quy đổi đơn vị tính từ m</w:t>
      </w:r>
      <w:r w:rsidRPr="00EA7A0A">
        <w:rPr>
          <w:bCs/>
          <w:iCs/>
          <w:noProof/>
          <w:color w:val="000000" w:themeColor="text1"/>
          <w:vertAlign w:val="superscript"/>
        </w:rPr>
        <w:t>3</w:t>
      </w:r>
      <w:r w:rsidRPr="00C929B9">
        <w:rPr>
          <w:bCs/>
          <w:iCs/>
          <w:noProof/>
          <w:color w:val="000000" w:themeColor="text1"/>
        </w:rPr>
        <w:t xml:space="preserve"> thành m</w:t>
      </w:r>
      <w:r w:rsidRPr="00EA7A0A">
        <w:rPr>
          <w:bCs/>
          <w:iCs/>
          <w:noProof/>
          <w:color w:val="000000" w:themeColor="text1"/>
          <w:vertAlign w:val="superscript"/>
        </w:rPr>
        <w:t>2</w:t>
      </w:r>
      <w:r w:rsidRPr="00C929B9">
        <w:rPr>
          <w:bCs/>
          <w:iCs/>
          <w:noProof/>
          <w:color w:val="000000" w:themeColor="text1"/>
        </w:rPr>
        <w:t xml:space="preserve"> (Gỗ cốp pha tính cho 01 mốc là: 01m</w:t>
      </w:r>
      <w:r w:rsidRPr="00EA7A0A">
        <w:rPr>
          <w:bCs/>
          <w:iCs/>
          <w:noProof/>
          <w:color w:val="000000" w:themeColor="text1"/>
          <w:vertAlign w:val="superscript"/>
        </w:rPr>
        <w:t>2</w:t>
      </w:r>
      <w:r w:rsidRPr="00C929B9">
        <w:rPr>
          <w:bCs/>
          <w:iCs/>
          <w:noProof/>
          <w:color w:val="000000" w:themeColor="text1"/>
        </w:rPr>
        <w:t>, độ dầy 2cm = 0,02 m</w:t>
      </w:r>
      <w:r w:rsidRPr="00C929B9">
        <w:rPr>
          <w:bCs/>
          <w:iCs/>
          <w:noProof/>
          <w:color w:val="000000" w:themeColor="text1"/>
          <w:vertAlign w:val="superscript"/>
        </w:rPr>
        <w:t>3</w:t>
      </w:r>
      <w:r w:rsidRPr="00C929B9">
        <w:rPr>
          <w:bCs/>
          <w:iCs/>
          <w:noProof/>
          <w:color w:val="000000" w:themeColor="text1"/>
        </w:rPr>
        <w:t>, Đơn giá gỗ cốp pha/m</w:t>
      </w:r>
      <w:r w:rsidRPr="00C929B9">
        <w:rPr>
          <w:bCs/>
          <w:iCs/>
          <w:noProof/>
          <w:color w:val="000000" w:themeColor="text1"/>
          <w:vertAlign w:val="superscript"/>
        </w:rPr>
        <w:t>2</w:t>
      </w:r>
      <w:r w:rsidRPr="00C929B9">
        <w:rPr>
          <w:bCs/>
          <w:iCs/>
          <w:noProof/>
          <w:color w:val="000000" w:themeColor="text1"/>
        </w:rPr>
        <w:t xml:space="preserve"> = 2.272.727 đồng/m</w:t>
      </w:r>
      <w:r w:rsidRPr="00C929B9">
        <w:rPr>
          <w:bCs/>
          <w:iCs/>
          <w:noProof/>
          <w:color w:val="000000" w:themeColor="text1"/>
          <w:vertAlign w:val="superscript"/>
        </w:rPr>
        <w:t>3</w:t>
      </w:r>
      <w:r w:rsidRPr="00C929B9">
        <w:rPr>
          <w:bCs/>
          <w:iCs/>
          <w:noProof/>
          <w:color w:val="000000" w:themeColor="text1"/>
        </w:rPr>
        <w:t xml:space="preserve"> x 0,02 m</w:t>
      </w:r>
      <w:r w:rsidRPr="00C929B9">
        <w:rPr>
          <w:bCs/>
          <w:iCs/>
          <w:noProof/>
          <w:color w:val="000000" w:themeColor="text1"/>
          <w:vertAlign w:val="superscript"/>
        </w:rPr>
        <w:t>3</w:t>
      </w:r>
      <w:r w:rsidRPr="00C929B9">
        <w:rPr>
          <w:bCs/>
          <w:iCs/>
          <w:noProof/>
          <w:color w:val="000000" w:themeColor="text1"/>
        </w:rPr>
        <w:t xml:space="preserve"> = </w:t>
      </w:r>
      <w:r w:rsidR="00232469" w:rsidRPr="00C929B9">
        <w:rPr>
          <w:bCs/>
          <w:iCs/>
          <w:noProof/>
          <w:color w:val="000000" w:themeColor="text1"/>
        </w:rPr>
        <w:t>45.455</w:t>
      </w:r>
      <w:r w:rsidRPr="00C929B9">
        <w:rPr>
          <w:bCs/>
          <w:iCs/>
          <w:noProof/>
          <w:color w:val="000000" w:themeColor="text1"/>
        </w:rPr>
        <w:t xml:space="preserve"> đồng/m</w:t>
      </w:r>
      <w:r w:rsidRPr="00C929B9">
        <w:rPr>
          <w:bCs/>
          <w:iCs/>
          <w:noProof/>
          <w:color w:val="000000" w:themeColor="text1"/>
          <w:vertAlign w:val="superscript"/>
        </w:rPr>
        <w:t>2</w:t>
      </w:r>
      <w:r w:rsidRPr="00C929B9">
        <w:rPr>
          <w:bCs/>
          <w:iCs/>
          <w:noProof/>
          <w:color w:val="000000" w:themeColor="text1"/>
        </w:rPr>
        <w:t>.</w:t>
      </w:r>
    </w:p>
    <w:p w:rsidR="000439E4" w:rsidRPr="00C929B9" w:rsidRDefault="000439E4" w:rsidP="00AD7747">
      <w:pPr>
        <w:spacing w:before="120" w:after="120"/>
        <w:ind w:firstLine="720"/>
        <w:jc w:val="both"/>
        <w:rPr>
          <w:color w:val="000000" w:themeColor="text1"/>
          <w:lang w:val="sv-SE"/>
        </w:rPr>
      </w:pPr>
      <w:r w:rsidRPr="00C929B9">
        <w:rPr>
          <w:color w:val="000000" w:themeColor="text1"/>
          <w:lang w:val="sv-SE"/>
        </w:rPr>
        <w:t xml:space="preserve">Từ việc xác định lại đơn giá gỗ cốp pha </w:t>
      </w:r>
      <w:r w:rsidR="00DE54AF" w:rsidRPr="00C929B9">
        <w:rPr>
          <w:color w:val="000000" w:themeColor="text1"/>
          <w:lang w:val="sv-SE"/>
        </w:rPr>
        <w:t>giảm 2.227.272</w:t>
      </w:r>
      <w:r w:rsidR="001C6F18" w:rsidRPr="00C929B9">
        <w:rPr>
          <w:color w:val="000000" w:themeColor="text1"/>
          <w:lang w:val="sv-SE"/>
        </w:rPr>
        <w:t xml:space="preserve"> đồng (= </w:t>
      </w:r>
      <w:r w:rsidR="000073A4" w:rsidRPr="00C929B9">
        <w:rPr>
          <w:color w:val="000000" w:themeColor="text1"/>
          <w:lang w:val="sv-SE"/>
        </w:rPr>
        <w:t>45.455</w:t>
      </w:r>
      <w:r w:rsidR="001C6F18" w:rsidRPr="00C929B9">
        <w:rPr>
          <w:color w:val="000000" w:themeColor="text1"/>
          <w:lang w:val="sv-SE"/>
        </w:rPr>
        <w:t xml:space="preserve"> – 2.272.727) </w:t>
      </w:r>
      <w:r w:rsidRPr="00C929B9">
        <w:rPr>
          <w:color w:val="000000" w:themeColor="text1"/>
          <w:lang w:val="sv-SE"/>
        </w:rPr>
        <w:t>như trên dẫn đến giá trị dự toán giảm</w:t>
      </w:r>
      <w:r w:rsidR="001C6F18" w:rsidRPr="00C929B9">
        <w:rPr>
          <w:color w:val="000000" w:themeColor="text1"/>
          <w:lang w:val="sv-SE"/>
        </w:rPr>
        <w:t xml:space="preserve"> </w:t>
      </w:r>
      <w:r w:rsidR="00232469" w:rsidRPr="00C929B9">
        <w:rPr>
          <w:color w:val="000000" w:themeColor="text1"/>
          <w:lang w:val="sv-SE"/>
        </w:rPr>
        <w:t>20.025</w:t>
      </w:r>
      <w:r w:rsidR="001C6F18" w:rsidRPr="00C929B9">
        <w:rPr>
          <w:color w:val="000000" w:themeColor="text1"/>
          <w:lang w:val="sv-SE"/>
        </w:rPr>
        <w:t xml:space="preserve"> triệu</w:t>
      </w:r>
      <w:r w:rsidRPr="00C929B9">
        <w:rPr>
          <w:color w:val="000000" w:themeColor="text1"/>
          <w:lang w:val="sv-SE"/>
        </w:rPr>
        <w:t xml:space="preserve"> đồng, gồm</w:t>
      </w:r>
    </w:p>
    <w:p w:rsidR="000439E4" w:rsidRPr="00C929B9" w:rsidRDefault="000439E4" w:rsidP="00AD7747">
      <w:pPr>
        <w:spacing w:before="120" w:after="120"/>
        <w:ind w:firstLine="720"/>
        <w:jc w:val="both"/>
        <w:rPr>
          <w:color w:val="000000" w:themeColor="text1"/>
          <w:lang w:val="sv-SE"/>
        </w:rPr>
      </w:pPr>
      <w:r w:rsidRPr="00C929B9">
        <w:rPr>
          <w:color w:val="000000" w:themeColor="text1"/>
          <w:lang w:val="sv-SE"/>
        </w:rPr>
        <w:t xml:space="preserve">- </w:t>
      </w:r>
      <w:r w:rsidR="00A00EC2" w:rsidRPr="00C929B9">
        <w:rPr>
          <w:color w:val="000000" w:themeColor="text1"/>
          <w:lang w:val="sv-SE"/>
        </w:rPr>
        <w:t>Chi phí cắm mốc ranh giới giảm</w:t>
      </w:r>
      <w:r w:rsidR="00A00EC2" w:rsidRPr="00114D9F">
        <w:rPr>
          <w:color w:val="000000" w:themeColor="text1"/>
          <w:lang w:val="sv-SE"/>
        </w:rPr>
        <w:t xml:space="preserve">: </w:t>
      </w:r>
      <w:r w:rsidR="00232469" w:rsidRPr="00114D9F">
        <w:rPr>
          <w:color w:val="000000" w:themeColor="text1"/>
          <w:lang w:val="sv-SE"/>
        </w:rPr>
        <w:t>19.25</w:t>
      </w:r>
      <w:r w:rsidR="008E29D9" w:rsidRPr="00114D9F">
        <w:rPr>
          <w:color w:val="000000" w:themeColor="text1"/>
          <w:lang w:val="sv-SE"/>
        </w:rPr>
        <w:t>6</w:t>
      </w:r>
      <w:r w:rsidR="00A00EC2" w:rsidRPr="00114D9F">
        <w:rPr>
          <w:color w:val="000000" w:themeColor="text1"/>
          <w:lang w:val="sv-SE"/>
        </w:rPr>
        <w:t xml:space="preserve"> triệu </w:t>
      </w:r>
      <w:r w:rsidR="00A00EC2" w:rsidRPr="00C929B9">
        <w:rPr>
          <w:color w:val="000000" w:themeColor="text1"/>
          <w:lang w:val="sv-SE"/>
        </w:rPr>
        <w:t>đồng.</w:t>
      </w:r>
    </w:p>
    <w:p w:rsidR="00A00EC2" w:rsidRPr="00C929B9" w:rsidRDefault="000439E4" w:rsidP="00AD7747">
      <w:pPr>
        <w:spacing w:before="120" w:after="120"/>
        <w:ind w:firstLine="720"/>
        <w:jc w:val="both"/>
        <w:rPr>
          <w:color w:val="000000" w:themeColor="text1"/>
          <w:lang w:val="sv-SE"/>
        </w:rPr>
      </w:pPr>
      <w:r w:rsidRPr="00C929B9">
        <w:rPr>
          <w:color w:val="000000" w:themeColor="text1"/>
          <w:lang w:val="sv-SE"/>
        </w:rPr>
        <w:t xml:space="preserve">- Chi phí </w:t>
      </w:r>
      <w:r w:rsidR="00A00EC2" w:rsidRPr="00C929B9">
        <w:rPr>
          <w:bCs/>
          <w:color w:val="000000" w:themeColor="text1"/>
        </w:rPr>
        <w:t xml:space="preserve">kiểm tra, </w:t>
      </w:r>
      <w:r w:rsidRPr="00C929B9">
        <w:rPr>
          <w:color w:val="000000" w:themeColor="text1"/>
          <w:lang w:val="sv-SE"/>
        </w:rPr>
        <w:t>nghiệm thu giảm</w:t>
      </w:r>
      <w:r w:rsidR="00A00EC2" w:rsidRPr="00C929B9">
        <w:rPr>
          <w:color w:val="000000" w:themeColor="text1"/>
          <w:lang w:val="sv-SE"/>
        </w:rPr>
        <w:t xml:space="preserve">: </w:t>
      </w:r>
      <w:r w:rsidR="00232469" w:rsidRPr="00C929B9">
        <w:rPr>
          <w:color w:val="000000" w:themeColor="text1"/>
          <w:lang w:val="sv-SE"/>
        </w:rPr>
        <w:t>771</w:t>
      </w:r>
      <w:r w:rsidR="00A00EC2" w:rsidRPr="00C929B9">
        <w:rPr>
          <w:color w:val="000000" w:themeColor="text1"/>
          <w:lang w:val="sv-SE"/>
        </w:rPr>
        <w:t xml:space="preserve"> triệu đồng.</w:t>
      </w:r>
    </w:p>
    <w:p w:rsidR="00184F71" w:rsidRPr="00103E88" w:rsidRDefault="00DE54AF" w:rsidP="002F3689">
      <w:pPr>
        <w:spacing w:before="120" w:after="120"/>
        <w:ind w:firstLine="720"/>
        <w:jc w:val="both"/>
        <w:rPr>
          <w:b/>
          <w:lang w:val="sv-SE"/>
        </w:rPr>
      </w:pPr>
      <w:r w:rsidRPr="00103E88">
        <w:rPr>
          <w:b/>
          <w:lang w:val="sv-SE"/>
        </w:rPr>
        <w:t>3.</w:t>
      </w:r>
      <w:r w:rsidR="00184F71" w:rsidRPr="00103E88">
        <w:rPr>
          <w:b/>
          <w:lang w:val="sv-SE"/>
        </w:rPr>
        <w:t xml:space="preserve"> Điều chỉnh phân kỳ nguồn kinh thực hiện</w:t>
      </w:r>
      <w:r w:rsidRPr="00103E88">
        <w:rPr>
          <w:b/>
          <w:lang w:val="sv-SE"/>
        </w:rPr>
        <w:t>:</w:t>
      </w:r>
    </w:p>
    <w:p w:rsidR="00DB7315" w:rsidRPr="00C929B9" w:rsidRDefault="00DE54AF" w:rsidP="002F3689">
      <w:pPr>
        <w:spacing w:before="120" w:after="120"/>
        <w:ind w:firstLine="720"/>
        <w:jc w:val="both"/>
        <w:rPr>
          <w:bCs/>
        </w:rPr>
      </w:pPr>
      <w:r w:rsidRPr="00C929B9">
        <w:rPr>
          <w:lang w:val="sv-SE"/>
        </w:rPr>
        <w:t>Phân kỳ kinh phí thực</w:t>
      </w:r>
      <w:r w:rsidR="00DB7315" w:rsidRPr="00C929B9">
        <w:rPr>
          <w:lang w:val="sv-SE"/>
        </w:rPr>
        <w:t xml:space="preserve"> hiện </w:t>
      </w:r>
      <w:r w:rsidR="00DB7315" w:rsidRPr="00C929B9">
        <w:rPr>
          <w:bCs/>
        </w:rPr>
        <w:t>Đề án “Tăng cường quản lý đất đai có nguồn gốc từ các nông, lâm trường quốc doanh trên địa bàn tỉnh Lâm Đồng” đã được UBND tỉnh Lâm Đồng phê duyệt tại Quyết định số 1171/QĐ-UBND ngày 27/6/2022 với dự toán kinh phí thực hiện Đề án là 305.565 triệu đồng, được phân kỳ như sau:</w:t>
      </w:r>
    </w:p>
    <w:p w:rsidR="00DB7315" w:rsidRPr="00C929B9" w:rsidRDefault="00DB7315" w:rsidP="00DB7315">
      <w:pPr>
        <w:spacing w:before="120" w:after="120"/>
        <w:ind w:firstLine="720"/>
        <w:jc w:val="both"/>
        <w:rPr>
          <w:lang w:val="sv-SE"/>
        </w:rPr>
      </w:pPr>
      <w:r w:rsidRPr="00C929B9">
        <w:rPr>
          <w:lang w:val="sv-SE"/>
        </w:rPr>
        <w:t xml:space="preserve">- Năm 2021: </w:t>
      </w:r>
      <w:r w:rsidRPr="00C929B9">
        <w:rPr>
          <w:bCs/>
        </w:rPr>
        <w:t>2.568 triệu đồng;</w:t>
      </w:r>
    </w:p>
    <w:p w:rsidR="00DB7315" w:rsidRPr="00C929B9" w:rsidRDefault="00DB7315" w:rsidP="00DB7315">
      <w:pPr>
        <w:spacing w:before="120" w:after="120"/>
        <w:ind w:firstLine="720"/>
        <w:jc w:val="both"/>
        <w:rPr>
          <w:lang w:val="sv-SE"/>
        </w:rPr>
      </w:pPr>
      <w:r w:rsidRPr="00C929B9">
        <w:rPr>
          <w:lang w:val="sv-SE"/>
        </w:rPr>
        <w:t>- Năm 2022: 90.000 triệu đồng;</w:t>
      </w:r>
    </w:p>
    <w:p w:rsidR="00DB7315" w:rsidRPr="00C929B9" w:rsidRDefault="00DB7315" w:rsidP="00DB7315">
      <w:pPr>
        <w:spacing w:before="120" w:after="120"/>
        <w:ind w:firstLine="720"/>
        <w:jc w:val="both"/>
        <w:rPr>
          <w:lang w:val="sv-SE"/>
        </w:rPr>
      </w:pPr>
      <w:r w:rsidRPr="00C929B9">
        <w:rPr>
          <w:lang w:val="sv-SE"/>
        </w:rPr>
        <w:t>- Năm 2023: 90.000 triệu đồng;</w:t>
      </w:r>
    </w:p>
    <w:p w:rsidR="00DB7315" w:rsidRPr="00C929B9" w:rsidRDefault="00DB7315" w:rsidP="00DB7315">
      <w:pPr>
        <w:spacing w:before="120" w:after="120"/>
        <w:ind w:firstLine="720"/>
        <w:jc w:val="both"/>
        <w:rPr>
          <w:lang w:val="sv-SE"/>
        </w:rPr>
      </w:pPr>
      <w:r w:rsidRPr="00C929B9">
        <w:rPr>
          <w:lang w:val="sv-SE"/>
        </w:rPr>
        <w:t>- Năm 2024: 122.997 triệu đồng.</w:t>
      </w:r>
    </w:p>
    <w:p w:rsidR="00C929B9" w:rsidRPr="00D02AFB" w:rsidRDefault="00C929B9" w:rsidP="002F3689">
      <w:pPr>
        <w:spacing w:before="120" w:after="120"/>
        <w:ind w:firstLine="720"/>
        <w:jc w:val="both"/>
        <w:rPr>
          <w:bCs/>
        </w:rPr>
      </w:pPr>
      <w:r w:rsidRPr="00D02AFB">
        <w:rPr>
          <w:lang w:val="sv-SE"/>
        </w:rPr>
        <w:t xml:space="preserve">Từ năm 2021 đến năm 2024, ngân sách đã bố trí kinh phí thực hiện </w:t>
      </w:r>
      <w:r w:rsidR="00F6398E" w:rsidRPr="00D02AFB">
        <w:rPr>
          <w:lang w:val="sv-SE"/>
        </w:rPr>
        <w:t xml:space="preserve">Đề </w:t>
      </w:r>
      <w:r w:rsidRPr="00D02AFB">
        <w:rPr>
          <w:lang w:val="sv-SE"/>
        </w:rPr>
        <w:t xml:space="preserve">án theo phân kỳ nêu trên. </w:t>
      </w:r>
      <w:r w:rsidR="00DB7315" w:rsidRPr="00D02AFB">
        <w:rPr>
          <w:bCs/>
        </w:rPr>
        <w:t>Tuy nhiên, trong quá trình triển khai thực hiện</w:t>
      </w:r>
      <w:r w:rsidR="00F6398E" w:rsidRPr="00D02AFB">
        <w:rPr>
          <w:bCs/>
          <w:lang w:val="nl-NL"/>
        </w:rPr>
        <w:t xml:space="preserve"> </w:t>
      </w:r>
      <w:r w:rsidR="00EA7A0A" w:rsidRPr="00D02AFB">
        <w:rPr>
          <w:bCs/>
          <w:lang w:val="nl-NL"/>
        </w:rPr>
        <w:t xml:space="preserve">Đề án </w:t>
      </w:r>
      <w:r w:rsidR="00F6398E" w:rsidRPr="00D02AFB">
        <w:rPr>
          <w:bCs/>
          <w:lang w:val="nl-NL"/>
        </w:rPr>
        <w:t>gặp rất nhiều khó khăn do ranh giới của các đơn vị chủ rừng chưa được phê duyệt; các đơn vị thi công chỉ triển khai công tác ngoại nghiệp tại một số khu vực có ranh giới tương đối ổn định, không phải điều chỉnh nhưng cũng chưa thể thực hiện biên tập, hoàn chỉnh bản đồ nội nghiệp; các khu vực có thay đổi về ranh giới hiện nay chưa thể thực hiện công tác cắm mốc cũng như xác định ranh giới. Do đó, kinh phí bố trí năm 2022, 2023 không sử dụng hết</w:t>
      </w:r>
      <w:bookmarkStart w:id="0" w:name="_GoBack"/>
      <w:bookmarkEnd w:id="0"/>
      <w:r w:rsidR="00F6398E" w:rsidRPr="00D02AFB">
        <w:rPr>
          <w:bCs/>
          <w:lang w:val="nl-NL"/>
        </w:rPr>
        <w:t xml:space="preserve"> vì không có khối lượng thanh toán.</w:t>
      </w:r>
    </w:p>
    <w:p w:rsidR="00C929B9" w:rsidRPr="00D02AFB" w:rsidRDefault="00C929B9" w:rsidP="00C929B9">
      <w:pPr>
        <w:spacing w:before="120" w:after="120"/>
        <w:ind w:firstLine="720"/>
        <w:jc w:val="both"/>
        <w:rPr>
          <w:bCs/>
        </w:rPr>
      </w:pPr>
      <w:r w:rsidRPr="00D02AFB">
        <w:rPr>
          <w:bCs/>
        </w:rPr>
        <w:t xml:space="preserve">Ngoài ra, </w:t>
      </w:r>
      <w:r w:rsidR="00F6398E" w:rsidRPr="00D02AFB">
        <w:rPr>
          <w:bCs/>
        </w:rPr>
        <w:t xml:space="preserve">năm </w:t>
      </w:r>
      <w:r w:rsidR="00DE54AF" w:rsidRPr="00D02AFB">
        <w:rPr>
          <w:bCs/>
        </w:rPr>
        <w:t>2023 thực</w:t>
      </w:r>
      <w:r w:rsidRPr="00D02AFB">
        <w:rPr>
          <w:bCs/>
        </w:rPr>
        <w:t xml:space="preserve"> </w:t>
      </w:r>
      <w:r w:rsidR="00DE54AF" w:rsidRPr="00D02AFB">
        <w:rPr>
          <w:bCs/>
        </w:rPr>
        <w:t xml:space="preserve">hiện </w:t>
      </w:r>
      <w:r w:rsidR="00F6398E" w:rsidRPr="00D02AFB">
        <w:rPr>
          <w:bCs/>
        </w:rPr>
        <w:t xml:space="preserve">Quyết định số 747/QĐ-TTr ngày 13/6/2023 của Thanh tra tỉnh </w:t>
      </w:r>
      <w:r w:rsidR="00EA7A0A" w:rsidRPr="00D02AFB">
        <w:rPr>
          <w:bCs/>
        </w:rPr>
        <w:t xml:space="preserve">Lâm Đồng </w:t>
      </w:r>
      <w:r w:rsidR="00F6398E" w:rsidRPr="00D02AFB">
        <w:rPr>
          <w:bCs/>
        </w:rPr>
        <w:t>về việc thanh tra công tác đấu thầu và thực hiện đối với dự án “Tăng cường quản lý đất đai có nguồn gốc từ các nông, lâm trường quốc do</w:t>
      </w:r>
      <w:r w:rsidR="00EA7A0A" w:rsidRPr="00D02AFB">
        <w:rPr>
          <w:bCs/>
        </w:rPr>
        <w:t>anh trên địa bàn tỉnh Lâm Đồng”;</w:t>
      </w:r>
      <w:r w:rsidR="00F6398E" w:rsidRPr="00D02AFB">
        <w:rPr>
          <w:bCs/>
        </w:rPr>
        <w:t xml:space="preserve"> </w:t>
      </w:r>
      <w:r w:rsidR="00DE54AF" w:rsidRPr="00D02AFB">
        <w:rPr>
          <w:bCs/>
        </w:rPr>
        <w:t>do vậy</w:t>
      </w:r>
      <w:r w:rsidR="00EA7A0A" w:rsidRPr="00D02AFB">
        <w:rPr>
          <w:bCs/>
        </w:rPr>
        <w:t>,</w:t>
      </w:r>
      <w:r w:rsidR="00DE54AF" w:rsidRPr="00D02AFB">
        <w:rPr>
          <w:bCs/>
        </w:rPr>
        <w:t xml:space="preserve"> </w:t>
      </w:r>
      <w:r w:rsidR="00F6398E" w:rsidRPr="00D02AFB">
        <w:rPr>
          <w:bCs/>
        </w:rPr>
        <w:t xml:space="preserve">Sở Tài nguyên và Môi trường đã chỉ đạo các </w:t>
      </w:r>
      <w:r w:rsidRPr="00D02AFB">
        <w:rPr>
          <w:bCs/>
        </w:rPr>
        <w:t xml:space="preserve">nhà thầu </w:t>
      </w:r>
      <w:r w:rsidR="00F6398E" w:rsidRPr="00D02AFB">
        <w:rPr>
          <w:bCs/>
        </w:rPr>
        <w:t xml:space="preserve">tạm dừng việc </w:t>
      </w:r>
      <w:r w:rsidRPr="00D02AFB">
        <w:rPr>
          <w:bCs/>
        </w:rPr>
        <w:t xml:space="preserve">thi công </w:t>
      </w:r>
      <w:r w:rsidR="00F6398E" w:rsidRPr="00D02AFB">
        <w:rPr>
          <w:bCs/>
        </w:rPr>
        <w:t>và</w:t>
      </w:r>
      <w:r w:rsidRPr="00D02AFB">
        <w:rPr>
          <w:bCs/>
        </w:rPr>
        <w:t xml:space="preserve"> nghiệm thu thanh toán</w:t>
      </w:r>
      <w:r w:rsidR="00F6398E" w:rsidRPr="00D02AFB">
        <w:rPr>
          <w:bCs/>
        </w:rPr>
        <w:t xml:space="preserve"> cho đến khi được cấp thẩm quyền phê duyệt điều chỉnh dự toán kinh phí thực hiện Đề án.</w:t>
      </w:r>
    </w:p>
    <w:p w:rsidR="00BA1CFC" w:rsidRPr="00114D9F" w:rsidRDefault="00DB7315" w:rsidP="002F3689">
      <w:pPr>
        <w:spacing w:before="120" w:after="120"/>
        <w:ind w:firstLine="720"/>
        <w:jc w:val="both"/>
        <w:rPr>
          <w:color w:val="000000" w:themeColor="text1"/>
          <w:lang w:val="sv-SE"/>
        </w:rPr>
      </w:pPr>
      <w:r w:rsidRPr="00C929B9">
        <w:rPr>
          <w:lang w:val="sv-SE"/>
        </w:rPr>
        <w:t xml:space="preserve">Vì vậy, để phù hợp với </w:t>
      </w:r>
      <w:r w:rsidR="00C929B9" w:rsidRPr="00C929B9">
        <w:rPr>
          <w:lang w:val="sv-SE"/>
        </w:rPr>
        <w:t xml:space="preserve">tình hình thực tế, </w:t>
      </w:r>
      <w:r w:rsidRPr="00C929B9">
        <w:rPr>
          <w:lang w:val="sv-SE"/>
        </w:rPr>
        <w:t xml:space="preserve">tiến độ </w:t>
      </w:r>
      <w:r w:rsidR="004966A1" w:rsidRPr="00C929B9">
        <w:rPr>
          <w:lang w:val="sv-SE"/>
        </w:rPr>
        <w:t xml:space="preserve">triển khai Đề án và </w:t>
      </w:r>
      <w:r w:rsidR="00C929B9" w:rsidRPr="00C929B9">
        <w:rPr>
          <w:lang w:val="sv-SE"/>
        </w:rPr>
        <w:t xml:space="preserve">đảm bảo nguồn kinh phí thanh toán, </w:t>
      </w:r>
      <w:r w:rsidR="004966A1" w:rsidRPr="00C929B9">
        <w:rPr>
          <w:lang w:val="sv-SE"/>
        </w:rPr>
        <w:t>các thành viên dự họp thống nhất</w:t>
      </w:r>
      <w:r w:rsidRPr="00C929B9">
        <w:rPr>
          <w:lang w:val="sv-SE"/>
        </w:rPr>
        <w:t xml:space="preserve"> đề xuất </w:t>
      </w:r>
      <w:r w:rsidR="004966A1" w:rsidRPr="00C929B9">
        <w:rPr>
          <w:lang w:val="sv-SE"/>
        </w:rPr>
        <w:t xml:space="preserve">UBND tỉnh điều chỉnh phân kỳ kinh phí thực hiện </w:t>
      </w:r>
      <w:r w:rsidR="00BA1CFC">
        <w:rPr>
          <w:lang w:val="sv-SE"/>
        </w:rPr>
        <w:t>Đề án</w:t>
      </w:r>
      <w:r w:rsidR="00BA1CFC" w:rsidRPr="00114D9F">
        <w:rPr>
          <w:color w:val="000000" w:themeColor="text1"/>
          <w:lang w:val="sv-SE"/>
        </w:rPr>
        <w:t>: 285.5</w:t>
      </w:r>
      <w:r w:rsidR="00697BAD" w:rsidRPr="00114D9F">
        <w:rPr>
          <w:color w:val="000000" w:themeColor="text1"/>
          <w:lang w:val="sv-SE"/>
        </w:rPr>
        <w:t>38</w:t>
      </w:r>
      <w:r w:rsidR="00BA1CFC" w:rsidRPr="00114D9F">
        <w:rPr>
          <w:color w:val="000000" w:themeColor="text1"/>
          <w:lang w:val="sv-SE"/>
        </w:rPr>
        <w:t xml:space="preserve"> triệu đồng, gồm</w:t>
      </w:r>
    </w:p>
    <w:p w:rsidR="00184F71" w:rsidRPr="00114D9F" w:rsidRDefault="00184F71" w:rsidP="00184F71">
      <w:pPr>
        <w:spacing w:before="120" w:after="120"/>
        <w:ind w:firstLine="720"/>
        <w:jc w:val="both"/>
        <w:rPr>
          <w:color w:val="000000" w:themeColor="text1"/>
          <w:lang w:val="sv-SE"/>
        </w:rPr>
      </w:pPr>
      <w:r w:rsidRPr="00114D9F">
        <w:rPr>
          <w:color w:val="000000" w:themeColor="text1"/>
          <w:lang w:val="sv-SE"/>
        </w:rPr>
        <w:lastRenderedPageBreak/>
        <w:t xml:space="preserve">- Năm 2021: </w:t>
      </w:r>
      <w:r w:rsidR="007D7B17" w:rsidRPr="00114D9F">
        <w:rPr>
          <w:color w:val="000000" w:themeColor="text1"/>
          <w:lang w:val="sv-SE"/>
        </w:rPr>
        <w:t xml:space="preserve">    </w:t>
      </w:r>
      <w:r w:rsidRPr="00114D9F">
        <w:rPr>
          <w:bCs/>
          <w:color w:val="000000" w:themeColor="text1"/>
        </w:rPr>
        <w:t>2.568 triệu đồng;</w:t>
      </w:r>
    </w:p>
    <w:p w:rsidR="00184F71" w:rsidRPr="00114D9F" w:rsidRDefault="00DB7315" w:rsidP="00184F71">
      <w:pPr>
        <w:spacing w:before="120" w:after="120"/>
        <w:ind w:firstLine="720"/>
        <w:jc w:val="both"/>
        <w:rPr>
          <w:color w:val="000000" w:themeColor="text1"/>
          <w:lang w:val="sv-SE"/>
        </w:rPr>
      </w:pPr>
      <w:r w:rsidRPr="00114D9F">
        <w:rPr>
          <w:color w:val="000000" w:themeColor="text1"/>
          <w:lang w:val="sv-SE"/>
        </w:rPr>
        <w:t xml:space="preserve">- Năm 2022: </w:t>
      </w:r>
      <w:r w:rsidR="007D7B17" w:rsidRPr="00114D9F">
        <w:rPr>
          <w:color w:val="000000" w:themeColor="text1"/>
          <w:lang w:val="sv-SE"/>
        </w:rPr>
        <w:t xml:space="preserve">  28.824</w:t>
      </w:r>
      <w:r w:rsidR="00184F71" w:rsidRPr="00114D9F">
        <w:rPr>
          <w:color w:val="000000" w:themeColor="text1"/>
          <w:lang w:val="sv-SE"/>
        </w:rPr>
        <w:t xml:space="preserve"> triệu đồng;</w:t>
      </w:r>
    </w:p>
    <w:p w:rsidR="00184F71" w:rsidRPr="00114D9F" w:rsidRDefault="00184F71" w:rsidP="00184F71">
      <w:pPr>
        <w:spacing w:before="120" w:after="120"/>
        <w:ind w:firstLine="720"/>
        <w:jc w:val="both"/>
        <w:rPr>
          <w:color w:val="000000" w:themeColor="text1"/>
          <w:lang w:val="sv-SE"/>
        </w:rPr>
      </w:pPr>
      <w:r w:rsidRPr="00114D9F">
        <w:rPr>
          <w:color w:val="000000" w:themeColor="text1"/>
          <w:lang w:val="sv-SE"/>
        </w:rPr>
        <w:t xml:space="preserve">- Năm 2023: </w:t>
      </w:r>
      <w:r w:rsidR="007D7B17" w:rsidRPr="00114D9F">
        <w:rPr>
          <w:color w:val="000000" w:themeColor="text1"/>
          <w:lang w:val="sv-SE"/>
        </w:rPr>
        <w:tab/>
      </w:r>
      <w:r w:rsidR="00114D9F" w:rsidRPr="00114D9F">
        <w:rPr>
          <w:color w:val="000000" w:themeColor="text1"/>
          <w:lang w:val="sv-SE"/>
        </w:rPr>
        <w:t xml:space="preserve"> </w:t>
      </w:r>
      <w:r w:rsidR="007D7B17" w:rsidRPr="00114D9F">
        <w:rPr>
          <w:color w:val="000000" w:themeColor="text1"/>
          <w:lang w:val="sv-SE"/>
        </w:rPr>
        <w:t>0</w:t>
      </w:r>
      <w:r w:rsidRPr="00114D9F">
        <w:rPr>
          <w:color w:val="000000" w:themeColor="text1"/>
          <w:lang w:val="sv-SE"/>
        </w:rPr>
        <w:t xml:space="preserve"> triệu đồng;</w:t>
      </w:r>
    </w:p>
    <w:p w:rsidR="004966A1" w:rsidRPr="00114D9F" w:rsidRDefault="00184F71" w:rsidP="00184F71">
      <w:pPr>
        <w:spacing w:before="120" w:after="120"/>
        <w:ind w:firstLine="720"/>
        <w:jc w:val="both"/>
        <w:rPr>
          <w:color w:val="000000" w:themeColor="text1"/>
          <w:lang w:val="sv-SE"/>
        </w:rPr>
      </w:pPr>
      <w:r w:rsidRPr="00114D9F">
        <w:rPr>
          <w:color w:val="000000" w:themeColor="text1"/>
          <w:lang w:val="sv-SE"/>
        </w:rPr>
        <w:t xml:space="preserve">- Năm 2024: </w:t>
      </w:r>
      <w:r w:rsidR="007D7B17" w:rsidRPr="00114D9F">
        <w:rPr>
          <w:color w:val="000000" w:themeColor="text1"/>
          <w:lang w:val="sv-SE"/>
        </w:rPr>
        <w:t>130.000</w:t>
      </w:r>
      <w:r w:rsidR="00181E4B" w:rsidRPr="00114D9F">
        <w:rPr>
          <w:color w:val="000000" w:themeColor="text1"/>
          <w:lang w:val="sv-SE"/>
        </w:rPr>
        <w:t xml:space="preserve"> triệu đồng</w:t>
      </w:r>
    </w:p>
    <w:p w:rsidR="00184F71" w:rsidRPr="00114D9F" w:rsidRDefault="004966A1" w:rsidP="00184F71">
      <w:pPr>
        <w:spacing w:before="120" w:after="120"/>
        <w:ind w:firstLine="720"/>
        <w:jc w:val="both"/>
        <w:rPr>
          <w:color w:val="000000" w:themeColor="text1"/>
          <w:lang w:val="sv-SE"/>
        </w:rPr>
      </w:pPr>
      <w:r w:rsidRPr="00114D9F">
        <w:rPr>
          <w:color w:val="000000" w:themeColor="text1"/>
          <w:lang w:val="sv-SE"/>
        </w:rPr>
        <w:t xml:space="preserve">- Năm 2025: </w:t>
      </w:r>
      <w:r w:rsidR="007D7B17" w:rsidRPr="00114D9F">
        <w:rPr>
          <w:color w:val="000000" w:themeColor="text1"/>
          <w:lang w:val="sv-SE"/>
        </w:rPr>
        <w:t>124.14</w:t>
      </w:r>
      <w:r w:rsidR="00697BAD" w:rsidRPr="00114D9F">
        <w:rPr>
          <w:color w:val="000000" w:themeColor="text1"/>
          <w:lang w:val="sv-SE"/>
        </w:rPr>
        <w:t>6</w:t>
      </w:r>
      <w:r w:rsidRPr="00114D9F">
        <w:rPr>
          <w:color w:val="000000" w:themeColor="text1"/>
          <w:lang w:val="sv-SE"/>
        </w:rPr>
        <w:t xml:space="preserve"> triệu đồng</w:t>
      </w:r>
      <w:r w:rsidR="00184F71" w:rsidRPr="00114D9F">
        <w:rPr>
          <w:color w:val="000000" w:themeColor="text1"/>
          <w:lang w:val="sv-SE"/>
        </w:rPr>
        <w:t>.</w:t>
      </w:r>
    </w:p>
    <w:p w:rsidR="00184F71" w:rsidRPr="00C929B9" w:rsidRDefault="00184F71" w:rsidP="002F3689">
      <w:pPr>
        <w:spacing w:before="120" w:after="120"/>
        <w:ind w:firstLine="720"/>
        <w:jc w:val="both"/>
        <w:rPr>
          <w:lang w:val="sv-SE"/>
        </w:rPr>
      </w:pPr>
      <w:r w:rsidRPr="00C929B9">
        <w:rPr>
          <w:lang w:val="sv-SE"/>
        </w:rPr>
        <w:t>c) Các nội dung khác vẫn giữ nguyên như tại Quyết định số</w:t>
      </w:r>
      <w:r w:rsidR="00621508" w:rsidRPr="00C929B9">
        <w:rPr>
          <w:lang w:val="sv-SE"/>
        </w:rPr>
        <w:t xml:space="preserve"> </w:t>
      </w:r>
      <w:r w:rsidR="00621508" w:rsidRPr="00C929B9">
        <w:rPr>
          <w:bCs/>
        </w:rPr>
        <w:t>1171/QĐ-UBND ngày 27/6/2022 của UBND tỉnh.</w:t>
      </w:r>
    </w:p>
    <w:p w:rsidR="008F0131" w:rsidRPr="00C929B9" w:rsidRDefault="00920045" w:rsidP="008F0131">
      <w:pPr>
        <w:widowControl w:val="0"/>
        <w:spacing w:before="120" w:after="120"/>
        <w:ind w:firstLine="709"/>
        <w:jc w:val="both"/>
      </w:pPr>
      <w:r w:rsidRPr="00C929B9">
        <w:rPr>
          <w:b/>
        </w:rPr>
        <w:t>3</w:t>
      </w:r>
      <w:r w:rsidR="008F0131" w:rsidRPr="00C929B9">
        <w:rPr>
          <w:b/>
        </w:rPr>
        <w:t>. Kết luận</w:t>
      </w:r>
      <w:r w:rsidR="008F0131" w:rsidRPr="00C929B9">
        <w:t xml:space="preserve">: từ những nội dung được nêu </w:t>
      </w:r>
      <w:r w:rsidR="009E5785" w:rsidRPr="00C929B9">
        <w:t>trên</w:t>
      </w:r>
      <w:r w:rsidR="008F0131" w:rsidRPr="00C929B9">
        <w:t xml:space="preserve">, việc báo cáo và đề xuất UBND tỉnh xem xét, phê duyệt </w:t>
      </w:r>
      <w:r w:rsidR="00BF2A83" w:rsidRPr="00C929B9">
        <w:t xml:space="preserve">điều chỉnh </w:t>
      </w:r>
      <w:r w:rsidR="008F0131" w:rsidRPr="00C929B9">
        <w:t xml:space="preserve">dự toán kinh phí thực hiện Đề án </w:t>
      </w:r>
      <w:r w:rsidR="008F0131" w:rsidRPr="00C929B9">
        <w:rPr>
          <w:bCs/>
        </w:rPr>
        <w:t xml:space="preserve">“Tăng cường quản lý đất đai có nguồn gốc từ các nông, lâm trường quốc doanh trên địa </w:t>
      </w:r>
      <w:r w:rsidR="00BF2A83" w:rsidRPr="00C929B9">
        <w:rPr>
          <w:bCs/>
        </w:rPr>
        <w:t xml:space="preserve">bàn tỉnh Lâm Đồng” là phù hợp với </w:t>
      </w:r>
      <w:r w:rsidR="007B6992" w:rsidRPr="00C929B9">
        <w:rPr>
          <w:bCs/>
        </w:rPr>
        <w:t xml:space="preserve">tình hình </w:t>
      </w:r>
      <w:r w:rsidR="00BF2A83" w:rsidRPr="00C929B9">
        <w:rPr>
          <w:bCs/>
        </w:rPr>
        <w:t>thực tế</w:t>
      </w:r>
      <w:r w:rsidR="008F0131" w:rsidRPr="00C929B9">
        <w:rPr>
          <w:bCs/>
        </w:rPr>
        <w:t>.</w:t>
      </w:r>
      <w:r w:rsidR="00D17630" w:rsidRPr="00C929B9">
        <w:rPr>
          <w:bCs/>
        </w:rPr>
        <w:t xml:space="preserve"> </w:t>
      </w:r>
    </w:p>
    <w:p w:rsidR="008F0131" w:rsidRPr="00C929B9" w:rsidRDefault="008F0131" w:rsidP="008F0131">
      <w:pPr>
        <w:spacing w:before="120" w:after="120"/>
        <w:ind w:firstLine="709"/>
        <w:jc w:val="both"/>
      </w:pPr>
      <w:r w:rsidRPr="00C929B9">
        <w:t>Cuộc họp kết thúc vào lúc 16 giờ 30 phút cùng ngày, các thành viên tham dự họp cùng thống nhất thông qua, làm cơ sở để Sở Tài chính báo cáo và đề xuất UBND tỉnh xem xét, phê duyệt theo quy định./.</w:t>
      </w:r>
    </w:p>
    <w:tbl>
      <w:tblPr>
        <w:tblW w:w="10065" w:type="dxa"/>
        <w:tblInd w:w="-567" w:type="dxa"/>
        <w:tblLook w:val="04A0" w:firstRow="1" w:lastRow="0" w:firstColumn="1" w:lastColumn="0" w:noHBand="0" w:noVBand="1"/>
      </w:tblPr>
      <w:tblGrid>
        <w:gridCol w:w="3828"/>
        <w:gridCol w:w="3329"/>
        <w:gridCol w:w="2908"/>
      </w:tblGrid>
      <w:tr w:rsidR="008F0131" w:rsidRPr="00C929B9" w:rsidTr="00C929B9">
        <w:tc>
          <w:tcPr>
            <w:tcW w:w="3828" w:type="dxa"/>
          </w:tcPr>
          <w:p w:rsidR="00AA44D8" w:rsidRPr="00C929B9" w:rsidRDefault="00AA44D8" w:rsidP="00FC39C5">
            <w:pPr>
              <w:jc w:val="center"/>
              <w:rPr>
                <w:b/>
                <w:lang w:val="pt-BR"/>
              </w:rPr>
            </w:pPr>
            <w:r w:rsidRPr="00C929B9">
              <w:rPr>
                <w:b/>
                <w:lang w:val="pt-BR"/>
              </w:rPr>
              <w:t>Đại diện</w:t>
            </w:r>
          </w:p>
          <w:p w:rsidR="00AA44D8" w:rsidRPr="00C929B9" w:rsidRDefault="00AA44D8" w:rsidP="00FC39C5">
            <w:pPr>
              <w:spacing w:after="120"/>
              <w:jc w:val="center"/>
              <w:rPr>
                <w:b/>
                <w:lang w:val="pt-BR"/>
              </w:rPr>
            </w:pPr>
            <w:r w:rsidRPr="00C929B9">
              <w:rPr>
                <w:b/>
                <w:lang w:val="pt-BR"/>
              </w:rPr>
              <w:t xml:space="preserve"> Sở Tài nguyên và Môi trườn</w:t>
            </w:r>
            <w:r w:rsidR="00FC39C5" w:rsidRPr="00C929B9">
              <w:rPr>
                <w:b/>
                <w:lang w:val="pt-BR"/>
              </w:rPr>
              <w:t>g</w:t>
            </w:r>
          </w:p>
          <w:p w:rsidR="008F0131" w:rsidRPr="00C929B9" w:rsidRDefault="008F0131" w:rsidP="00FC39C5">
            <w:pPr>
              <w:spacing w:after="120"/>
              <w:jc w:val="center"/>
              <w:rPr>
                <w:b/>
                <w:lang w:val="pt-BR"/>
              </w:rPr>
            </w:pPr>
          </w:p>
          <w:p w:rsidR="008F0131" w:rsidRPr="00C929B9" w:rsidRDefault="008F0131" w:rsidP="00FC39C5">
            <w:pPr>
              <w:spacing w:after="120"/>
              <w:jc w:val="center"/>
              <w:rPr>
                <w:b/>
                <w:lang w:val="pt-BR"/>
              </w:rPr>
            </w:pPr>
          </w:p>
          <w:p w:rsidR="008F0131" w:rsidRPr="00C929B9" w:rsidRDefault="008F0131" w:rsidP="00FC39C5">
            <w:pPr>
              <w:spacing w:after="120"/>
              <w:jc w:val="center"/>
              <w:rPr>
                <w:b/>
                <w:lang w:val="pt-BR"/>
              </w:rPr>
            </w:pPr>
          </w:p>
          <w:p w:rsidR="008F0131" w:rsidRPr="00C929B9" w:rsidRDefault="008F0131" w:rsidP="00FC39C5">
            <w:pPr>
              <w:spacing w:after="120"/>
              <w:jc w:val="center"/>
              <w:rPr>
                <w:b/>
                <w:lang w:val="pt-BR"/>
              </w:rPr>
            </w:pPr>
          </w:p>
        </w:tc>
        <w:tc>
          <w:tcPr>
            <w:tcW w:w="3329" w:type="dxa"/>
          </w:tcPr>
          <w:p w:rsidR="00C929B9" w:rsidRPr="00C929B9" w:rsidRDefault="00C929B9" w:rsidP="00C929B9">
            <w:pPr>
              <w:jc w:val="center"/>
              <w:rPr>
                <w:b/>
                <w:lang w:val="pt-BR"/>
              </w:rPr>
            </w:pPr>
            <w:r w:rsidRPr="00C929B9">
              <w:rPr>
                <w:b/>
                <w:lang w:val="pt-BR"/>
              </w:rPr>
              <w:t>Đại diện</w:t>
            </w:r>
          </w:p>
          <w:p w:rsidR="00C929B9" w:rsidRPr="00C929B9" w:rsidRDefault="00C929B9" w:rsidP="00C929B9">
            <w:pPr>
              <w:jc w:val="center"/>
              <w:rPr>
                <w:b/>
                <w:lang w:val="fr-FR"/>
              </w:rPr>
            </w:pPr>
            <w:r w:rsidRPr="00C929B9">
              <w:rPr>
                <w:b/>
                <w:lang w:val="fr-FR"/>
              </w:rPr>
              <w:t xml:space="preserve">Sở Nông nghiệp và </w:t>
            </w:r>
          </w:p>
          <w:p w:rsidR="00C929B9" w:rsidRPr="00C929B9" w:rsidRDefault="00C929B9" w:rsidP="00C929B9">
            <w:pPr>
              <w:jc w:val="center"/>
              <w:rPr>
                <w:b/>
                <w:lang w:val="pt-BR"/>
              </w:rPr>
            </w:pPr>
            <w:r w:rsidRPr="00C929B9">
              <w:rPr>
                <w:b/>
                <w:lang w:val="fr-FR"/>
              </w:rPr>
              <w:t>Phát triển nông thôn</w:t>
            </w:r>
          </w:p>
          <w:p w:rsidR="008F0131" w:rsidRPr="00C929B9" w:rsidRDefault="008F0131" w:rsidP="00FC39C5">
            <w:pPr>
              <w:spacing w:after="120"/>
              <w:jc w:val="center"/>
              <w:rPr>
                <w:b/>
                <w:lang w:val="pt-BR"/>
              </w:rPr>
            </w:pPr>
          </w:p>
        </w:tc>
        <w:tc>
          <w:tcPr>
            <w:tcW w:w="2908" w:type="dxa"/>
          </w:tcPr>
          <w:p w:rsidR="00AA44D8" w:rsidRPr="00C929B9" w:rsidRDefault="00AA44D8" w:rsidP="00FC39C5">
            <w:pPr>
              <w:jc w:val="center"/>
              <w:rPr>
                <w:b/>
              </w:rPr>
            </w:pPr>
            <w:r w:rsidRPr="00C929B9">
              <w:rPr>
                <w:b/>
              </w:rPr>
              <w:t>Đại diện</w:t>
            </w:r>
          </w:p>
          <w:p w:rsidR="00AA44D8" w:rsidRPr="00C929B9" w:rsidRDefault="00AA44D8" w:rsidP="00FC39C5">
            <w:pPr>
              <w:spacing w:after="120"/>
              <w:jc w:val="center"/>
              <w:rPr>
                <w:b/>
              </w:rPr>
            </w:pPr>
            <w:r w:rsidRPr="00C929B9">
              <w:rPr>
                <w:b/>
              </w:rPr>
              <w:t xml:space="preserve"> Sở Tài chính</w:t>
            </w:r>
          </w:p>
          <w:p w:rsidR="00AA44D8" w:rsidRPr="00C929B9" w:rsidRDefault="00AA44D8" w:rsidP="00FC39C5">
            <w:pPr>
              <w:spacing w:after="120"/>
              <w:jc w:val="center"/>
              <w:rPr>
                <w:b/>
              </w:rPr>
            </w:pPr>
          </w:p>
          <w:p w:rsidR="008F0131" w:rsidRPr="00C929B9" w:rsidRDefault="008F0131" w:rsidP="00FC39C5">
            <w:pPr>
              <w:spacing w:after="120"/>
              <w:jc w:val="center"/>
              <w:rPr>
                <w:b/>
              </w:rPr>
            </w:pPr>
          </w:p>
          <w:p w:rsidR="008F0131" w:rsidRPr="00C929B9" w:rsidRDefault="008F0131" w:rsidP="00FC39C5">
            <w:pPr>
              <w:spacing w:after="120"/>
              <w:jc w:val="center"/>
              <w:rPr>
                <w:b/>
              </w:rPr>
            </w:pPr>
          </w:p>
          <w:p w:rsidR="008F0131" w:rsidRPr="00C929B9" w:rsidRDefault="008F0131" w:rsidP="00FC39C5">
            <w:pPr>
              <w:spacing w:after="120"/>
              <w:jc w:val="center"/>
              <w:rPr>
                <w:b/>
              </w:rPr>
            </w:pPr>
          </w:p>
          <w:p w:rsidR="00C929B9" w:rsidRPr="00C929B9" w:rsidRDefault="00C929B9" w:rsidP="00FC39C5">
            <w:pPr>
              <w:spacing w:after="120"/>
              <w:jc w:val="center"/>
              <w:rPr>
                <w:b/>
              </w:rPr>
            </w:pPr>
          </w:p>
        </w:tc>
      </w:tr>
      <w:tr w:rsidR="00A210A4" w:rsidRPr="00C929B9" w:rsidTr="00C929B9">
        <w:tc>
          <w:tcPr>
            <w:tcW w:w="3828" w:type="dxa"/>
          </w:tcPr>
          <w:p w:rsidR="00A210A4" w:rsidRPr="00C929B9" w:rsidRDefault="00C929B9" w:rsidP="00C929B9">
            <w:pPr>
              <w:jc w:val="center"/>
              <w:rPr>
                <w:b/>
                <w:lang w:val="pt-BR"/>
              </w:rPr>
            </w:pPr>
            <w:r w:rsidRPr="00C929B9">
              <w:rPr>
                <w:b/>
              </w:rPr>
              <w:t>Thái Văn Sơn</w:t>
            </w:r>
          </w:p>
        </w:tc>
        <w:tc>
          <w:tcPr>
            <w:tcW w:w="3329" w:type="dxa"/>
          </w:tcPr>
          <w:p w:rsidR="00A210A4" w:rsidRPr="00C929B9" w:rsidRDefault="00C929B9" w:rsidP="00FC39C5">
            <w:pPr>
              <w:spacing w:after="120"/>
              <w:jc w:val="center"/>
              <w:rPr>
                <w:b/>
                <w:lang w:val="pt-BR"/>
              </w:rPr>
            </w:pPr>
            <w:r w:rsidRPr="00C929B9">
              <w:rPr>
                <w:b/>
                <w:lang w:val="pt-BR"/>
              </w:rPr>
              <w:t>Hoàng Sỹ Hạnh</w:t>
            </w:r>
          </w:p>
        </w:tc>
        <w:tc>
          <w:tcPr>
            <w:tcW w:w="2908" w:type="dxa"/>
          </w:tcPr>
          <w:p w:rsidR="00A210A4" w:rsidRPr="00C929B9" w:rsidRDefault="00C929B9" w:rsidP="00C929B9">
            <w:pPr>
              <w:jc w:val="center"/>
              <w:rPr>
                <w:b/>
              </w:rPr>
            </w:pPr>
            <w:r w:rsidRPr="00C929B9">
              <w:rPr>
                <w:b/>
              </w:rPr>
              <w:t>Nguyễn Thị Thu Nga</w:t>
            </w:r>
            <w:r w:rsidRPr="00C929B9">
              <w:rPr>
                <w:b/>
                <w:lang w:val="pt-BR"/>
              </w:rPr>
              <w:t xml:space="preserve"> </w:t>
            </w:r>
          </w:p>
        </w:tc>
      </w:tr>
    </w:tbl>
    <w:p w:rsidR="00B54E8E" w:rsidRPr="00C929B9" w:rsidRDefault="00B54E8E" w:rsidP="00C059B3">
      <w:pPr>
        <w:spacing w:before="60"/>
        <w:jc w:val="center"/>
      </w:pPr>
    </w:p>
    <w:p w:rsidR="000E7BC7" w:rsidRPr="00C929B9" w:rsidRDefault="000E7BC7" w:rsidP="00F174B1">
      <w:pPr>
        <w:spacing w:before="60"/>
        <w:ind w:firstLine="709"/>
        <w:jc w:val="both"/>
      </w:pPr>
    </w:p>
    <w:p w:rsidR="00273B34" w:rsidRPr="00C929B9" w:rsidRDefault="00273B34" w:rsidP="00F174B1">
      <w:pPr>
        <w:spacing w:before="60"/>
        <w:ind w:firstLine="709"/>
        <w:jc w:val="both"/>
      </w:pPr>
    </w:p>
    <w:sectPr w:rsidR="00273B34" w:rsidRPr="00C929B9" w:rsidSect="008F0131">
      <w:footerReference w:type="even" r:id="rId8"/>
      <w:footerReference w:type="default" r:id="rId9"/>
      <w:pgSz w:w="11907" w:h="16840"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F17" w:rsidRDefault="00B93F17">
      <w:r>
        <w:separator/>
      </w:r>
    </w:p>
  </w:endnote>
  <w:endnote w:type="continuationSeparator" w:id="0">
    <w:p w:rsidR="00B93F17" w:rsidRDefault="00B9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BC7" w:rsidRDefault="003523FC">
    <w:pPr>
      <w:pStyle w:val="Footer"/>
      <w:framePr w:h="0" w:wrap="around" w:vAnchor="text" w:hAnchor="margin" w:xAlign="right" w:y="1"/>
      <w:rPr>
        <w:rStyle w:val="PageNumber"/>
      </w:rPr>
    </w:pPr>
    <w:r>
      <w:fldChar w:fldCharType="begin"/>
    </w:r>
    <w:r w:rsidR="000E7BC7">
      <w:rPr>
        <w:rStyle w:val="PageNumber"/>
      </w:rPr>
      <w:instrText xml:space="preserve">PAGE  </w:instrText>
    </w:r>
    <w:r>
      <w:fldChar w:fldCharType="end"/>
    </w:r>
  </w:p>
  <w:p w:rsidR="000E7BC7" w:rsidRDefault="000E7BC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BC7" w:rsidRDefault="000E7BC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F17" w:rsidRDefault="00B93F17">
      <w:r>
        <w:separator/>
      </w:r>
    </w:p>
  </w:footnote>
  <w:footnote w:type="continuationSeparator" w:id="0">
    <w:p w:rsidR="00B93F17" w:rsidRDefault="00B93F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050B2"/>
    <w:multiLevelType w:val="hybridMultilevel"/>
    <w:tmpl w:val="76566144"/>
    <w:lvl w:ilvl="0" w:tplc="B67E6D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6B6608B5"/>
    <w:multiLevelType w:val="hybridMultilevel"/>
    <w:tmpl w:val="8612CB2A"/>
    <w:lvl w:ilvl="0" w:tplc="584E34D0">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E74"/>
    <w:rsid w:val="00003DB7"/>
    <w:rsid w:val="000073A4"/>
    <w:rsid w:val="0000759B"/>
    <w:rsid w:val="00007AFA"/>
    <w:rsid w:val="00013F39"/>
    <w:rsid w:val="00014909"/>
    <w:rsid w:val="00023B52"/>
    <w:rsid w:val="00024C7F"/>
    <w:rsid w:val="0003358C"/>
    <w:rsid w:val="00034011"/>
    <w:rsid w:val="00037F40"/>
    <w:rsid w:val="000439E4"/>
    <w:rsid w:val="000446ED"/>
    <w:rsid w:val="0004722A"/>
    <w:rsid w:val="00053E06"/>
    <w:rsid w:val="00055F3B"/>
    <w:rsid w:val="00060B11"/>
    <w:rsid w:val="0006199B"/>
    <w:rsid w:val="000628F3"/>
    <w:rsid w:val="000650F7"/>
    <w:rsid w:val="000708D1"/>
    <w:rsid w:val="000764BB"/>
    <w:rsid w:val="00077F1F"/>
    <w:rsid w:val="000852BC"/>
    <w:rsid w:val="00092655"/>
    <w:rsid w:val="000939AA"/>
    <w:rsid w:val="000A2077"/>
    <w:rsid w:val="000A526B"/>
    <w:rsid w:val="000B3663"/>
    <w:rsid w:val="000B74CE"/>
    <w:rsid w:val="000C15A6"/>
    <w:rsid w:val="000C7CBF"/>
    <w:rsid w:val="000D5588"/>
    <w:rsid w:val="000E7BC7"/>
    <w:rsid w:val="000F422B"/>
    <w:rsid w:val="000F4430"/>
    <w:rsid w:val="000F5736"/>
    <w:rsid w:val="000F7071"/>
    <w:rsid w:val="00102C94"/>
    <w:rsid w:val="00103E88"/>
    <w:rsid w:val="00105256"/>
    <w:rsid w:val="00105FC5"/>
    <w:rsid w:val="001104EF"/>
    <w:rsid w:val="00114D9F"/>
    <w:rsid w:val="001205A1"/>
    <w:rsid w:val="00121BB9"/>
    <w:rsid w:val="00122EF6"/>
    <w:rsid w:val="00126549"/>
    <w:rsid w:val="00130B37"/>
    <w:rsid w:val="0013539E"/>
    <w:rsid w:val="00142158"/>
    <w:rsid w:val="00147A6D"/>
    <w:rsid w:val="00153EE5"/>
    <w:rsid w:val="0015533D"/>
    <w:rsid w:val="00166D76"/>
    <w:rsid w:val="001725B3"/>
    <w:rsid w:val="00172A27"/>
    <w:rsid w:val="00181E4B"/>
    <w:rsid w:val="00182EBA"/>
    <w:rsid w:val="00183864"/>
    <w:rsid w:val="00184F71"/>
    <w:rsid w:val="001927BE"/>
    <w:rsid w:val="001A1C0D"/>
    <w:rsid w:val="001B19E1"/>
    <w:rsid w:val="001B4DDD"/>
    <w:rsid w:val="001B7EB8"/>
    <w:rsid w:val="001C04B5"/>
    <w:rsid w:val="001C59AF"/>
    <w:rsid w:val="001C608E"/>
    <w:rsid w:val="001C6F18"/>
    <w:rsid w:val="001C7EDE"/>
    <w:rsid w:val="001D0114"/>
    <w:rsid w:val="001E2CDD"/>
    <w:rsid w:val="001E4A0C"/>
    <w:rsid w:val="001E6173"/>
    <w:rsid w:val="001F0648"/>
    <w:rsid w:val="001F4F03"/>
    <w:rsid w:val="002019E5"/>
    <w:rsid w:val="002020A0"/>
    <w:rsid w:val="002045A6"/>
    <w:rsid w:val="002103D4"/>
    <w:rsid w:val="002134C2"/>
    <w:rsid w:val="00215688"/>
    <w:rsid w:val="00220014"/>
    <w:rsid w:val="00221535"/>
    <w:rsid w:val="002242B3"/>
    <w:rsid w:val="0022665A"/>
    <w:rsid w:val="00231C85"/>
    <w:rsid w:val="00232469"/>
    <w:rsid w:val="0024387B"/>
    <w:rsid w:val="00246046"/>
    <w:rsid w:val="00253640"/>
    <w:rsid w:val="00255438"/>
    <w:rsid w:val="00264A3E"/>
    <w:rsid w:val="00267E14"/>
    <w:rsid w:val="00273210"/>
    <w:rsid w:val="00273AA4"/>
    <w:rsid w:val="00273B34"/>
    <w:rsid w:val="00291563"/>
    <w:rsid w:val="002927B9"/>
    <w:rsid w:val="00294512"/>
    <w:rsid w:val="002A729D"/>
    <w:rsid w:val="002B1E54"/>
    <w:rsid w:val="002D0B89"/>
    <w:rsid w:val="002D4A93"/>
    <w:rsid w:val="002D4F3D"/>
    <w:rsid w:val="002D67CB"/>
    <w:rsid w:val="002D748F"/>
    <w:rsid w:val="002D7BA6"/>
    <w:rsid w:val="002E27CA"/>
    <w:rsid w:val="002E62C1"/>
    <w:rsid w:val="002E646C"/>
    <w:rsid w:val="002E68F9"/>
    <w:rsid w:val="002F3689"/>
    <w:rsid w:val="002F6236"/>
    <w:rsid w:val="0030644C"/>
    <w:rsid w:val="00312FA6"/>
    <w:rsid w:val="00320A94"/>
    <w:rsid w:val="00323137"/>
    <w:rsid w:val="00324477"/>
    <w:rsid w:val="0032451D"/>
    <w:rsid w:val="0032529E"/>
    <w:rsid w:val="00325730"/>
    <w:rsid w:val="00326C2D"/>
    <w:rsid w:val="00331104"/>
    <w:rsid w:val="0033504C"/>
    <w:rsid w:val="00340799"/>
    <w:rsid w:val="00342234"/>
    <w:rsid w:val="003523FC"/>
    <w:rsid w:val="0035677E"/>
    <w:rsid w:val="003705EC"/>
    <w:rsid w:val="00370CD3"/>
    <w:rsid w:val="00374A9F"/>
    <w:rsid w:val="00376ACA"/>
    <w:rsid w:val="00385FF2"/>
    <w:rsid w:val="00392247"/>
    <w:rsid w:val="00392978"/>
    <w:rsid w:val="00392B74"/>
    <w:rsid w:val="0039396E"/>
    <w:rsid w:val="003A3CF5"/>
    <w:rsid w:val="003A55F5"/>
    <w:rsid w:val="003B5925"/>
    <w:rsid w:val="003C13B9"/>
    <w:rsid w:val="003C151E"/>
    <w:rsid w:val="003C19AC"/>
    <w:rsid w:val="003C2C5F"/>
    <w:rsid w:val="003C4DC4"/>
    <w:rsid w:val="003D0C81"/>
    <w:rsid w:val="003D51BD"/>
    <w:rsid w:val="003D6B81"/>
    <w:rsid w:val="003E1B0A"/>
    <w:rsid w:val="003E4E40"/>
    <w:rsid w:val="003E6889"/>
    <w:rsid w:val="003F1EA5"/>
    <w:rsid w:val="003F3DDC"/>
    <w:rsid w:val="00412768"/>
    <w:rsid w:val="00415033"/>
    <w:rsid w:val="00417C9A"/>
    <w:rsid w:val="004264EF"/>
    <w:rsid w:val="004267AA"/>
    <w:rsid w:val="00435913"/>
    <w:rsid w:val="004368C0"/>
    <w:rsid w:val="0044065C"/>
    <w:rsid w:val="00444B68"/>
    <w:rsid w:val="00446374"/>
    <w:rsid w:val="00452444"/>
    <w:rsid w:val="00466B75"/>
    <w:rsid w:val="00470E7C"/>
    <w:rsid w:val="00483B62"/>
    <w:rsid w:val="00493FAF"/>
    <w:rsid w:val="004945F7"/>
    <w:rsid w:val="00494970"/>
    <w:rsid w:val="00495657"/>
    <w:rsid w:val="004957B5"/>
    <w:rsid w:val="004966A1"/>
    <w:rsid w:val="004974AB"/>
    <w:rsid w:val="00497FE6"/>
    <w:rsid w:val="004A6E46"/>
    <w:rsid w:val="004B3181"/>
    <w:rsid w:val="004C23C1"/>
    <w:rsid w:val="004D2873"/>
    <w:rsid w:val="004D3038"/>
    <w:rsid w:val="004D4823"/>
    <w:rsid w:val="004D4F2C"/>
    <w:rsid w:val="004E37FF"/>
    <w:rsid w:val="004E4CE7"/>
    <w:rsid w:val="004F34E9"/>
    <w:rsid w:val="004F356F"/>
    <w:rsid w:val="004F45B0"/>
    <w:rsid w:val="004F7303"/>
    <w:rsid w:val="00505275"/>
    <w:rsid w:val="00506F80"/>
    <w:rsid w:val="00507330"/>
    <w:rsid w:val="00513926"/>
    <w:rsid w:val="0051733D"/>
    <w:rsid w:val="00521FCF"/>
    <w:rsid w:val="00522861"/>
    <w:rsid w:val="00522FAC"/>
    <w:rsid w:val="00523B69"/>
    <w:rsid w:val="00523F83"/>
    <w:rsid w:val="00527C1C"/>
    <w:rsid w:val="00530C0C"/>
    <w:rsid w:val="0053337A"/>
    <w:rsid w:val="00542547"/>
    <w:rsid w:val="005474CB"/>
    <w:rsid w:val="00561B09"/>
    <w:rsid w:val="00563D9A"/>
    <w:rsid w:val="00567E7B"/>
    <w:rsid w:val="00567F1C"/>
    <w:rsid w:val="00586C50"/>
    <w:rsid w:val="005969D6"/>
    <w:rsid w:val="005A4756"/>
    <w:rsid w:val="005C4178"/>
    <w:rsid w:val="005C5057"/>
    <w:rsid w:val="005C55FC"/>
    <w:rsid w:val="005D22D0"/>
    <w:rsid w:val="005D6875"/>
    <w:rsid w:val="005D6E2A"/>
    <w:rsid w:val="005E67DC"/>
    <w:rsid w:val="005F18A7"/>
    <w:rsid w:val="005F2F34"/>
    <w:rsid w:val="005F4907"/>
    <w:rsid w:val="005F75B0"/>
    <w:rsid w:val="0060520C"/>
    <w:rsid w:val="00606DCF"/>
    <w:rsid w:val="00614396"/>
    <w:rsid w:val="00621508"/>
    <w:rsid w:val="006218CB"/>
    <w:rsid w:val="00623588"/>
    <w:rsid w:val="006257B5"/>
    <w:rsid w:val="00626995"/>
    <w:rsid w:val="00626D2E"/>
    <w:rsid w:val="006301F2"/>
    <w:rsid w:val="006317A2"/>
    <w:rsid w:val="0066144E"/>
    <w:rsid w:val="00670F97"/>
    <w:rsid w:val="00675EE7"/>
    <w:rsid w:val="0067649A"/>
    <w:rsid w:val="0068002E"/>
    <w:rsid w:val="00680A7D"/>
    <w:rsid w:val="00684C82"/>
    <w:rsid w:val="00687B40"/>
    <w:rsid w:val="00691758"/>
    <w:rsid w:val="00697BAD"/>
    <w:rsid w:val="006A2946"/>
    <w:rsid w:val="006A499C"/>
    <w:rsid w:val="006A7CB3"/>
    <w:rsid w:val="006B2401"/>
    <w:rsid w:val="006B3D4D"/>
    <w:rsid w:val="006B54FD"/>
    <w:rsid w:val="006C184E"/>
    <w:rsid w:val="006C5F8B"/>
    <w:rsid w:val="006C7C13"/>
    <w:rsid w:val="006D3CCE"/>
    <w:rsid w:val="006E41FD"/>
    <w:rsid w:val="006E5ADB"/>
    <w:rsid w:val="006F02AA"/>
    <w:rsid w:val="00710136"/>
    <w:rsid w:val="00733331"/>
    <w:rsid w:val="00733BD5"/>
    <w:rsid w:val="00740429"/>
    <w:rsid w:val="0075002B"/>
    <w:rsid w:val="00752A64"/>
    <w:rsid w:val="0076317F"/>
    <w:rsid w:val="00776DF9"/>
    <w:rsid w:val="007872C9"/>
    <w:rsid w:val="0079235D"/>
    <w:rsid w:val="007944AB"/>
    <w:rsid w:val="007A07D7"/>
    <w:rsid w:val="007B11EF"/>
    <w:rsid w:val="007B1C4D"/>
    <w:rsid w:val="007B6992"/>
    <w:rsid w:val="007B7494"/>
    <w:rsid w:val="007C6F18"/>
    <w:rsid w:val="007D74D2"/>
    <w:rsid w:val="007D7B17"/>
    <w:rsid w:val="007E2000"/>
    <w:rsid w:val="007F23BE"/>
    <w:rsid w:val="007F5AFD"/>
    <w:rsid w:val="007F6B5B"/>
    <w:rsid w:val="00803A05"/>
    <w:rsid w:val="0081328C"/>
    <w:rsid w:val="00814366"/>
    <w:rsid w:val="00814C62"/>
    <w:rsid w:val="00817141"/>
    <w:rsid w:val="0082177C"/>
    <w:rsid w:val="0082389C"/>
    <w:rsid w:val="0082429D"/>
    <w:rsid w:val="00827507"/>
    <w:rsid w:val="008315C8"/>
    <w:rsid w:val="00836075"/>
    <w:rsid w:val="00841B4D"/>
    <w:rsid w:val="008430BF"/>
    <w:rsid w:val="00845CE2"/>
    <w:rsid w:val="008513EE"/>
    <w:rsid w:val="00862781"/>
    <w:rsid w:val="00863C3C"/>
    <w:rsid w:val="0087229A"/>
    <w:rsid w:val="00873F28"/>
    <w:rsid w:val="0088069C"/>
    <w:rsid w:val="0088167E"/>
    <w:rsid w:val="008835C6"/>
    <w:rsid w:val="00892583"/>
    <w:rsid w:val="008A13B3"/>
    <w:rsid w:val="008A192A"/>
    <w:rsid w:val="008A1BA6"/>
    <w:rsid w:val="008B1DCB"/>
    <w:rsid w:val="008B31B5"/>
    <w:rsid w:val="008C6ADC"/>
    <w:rsid w:val="008D2528"/>
    <w:rsid w:val="008D7902"/>
    <w:rsid w:val="008E29D9"/>
    <w:rsid w:val="008F0131"/>
    <w:rsid w:val="008F1E5D"/>
    <w:rsid w:val="008F2D02"/>
    <w:rsid w:val="008F3350"/>
    <w:rsid w:val="008F4D7E"/>
    <w:rsid w:val="00900C38"/>
    <w:rsid w:val="009015FA"/>
    <w:rsid w:val="00911AD8"/>
    <w:rsid w:val="00912BA7"/>
    <w:rsid w:val="00920045"/>
    <w:rsid w:val="0092263E"/>
    <w:rsid w:val="00927D5E"/>
    <w:rsid w:val="00937DCB"/>
    <w:rsid w:val="009437A6"/>
    <w:rsid w:val="00943A1D"/>
    <w:rsid w:val="009447A2"/>
    <w:rsid w:val="00945A80"/>
    <w:rsid w:val="009473FD"/>
    <w:rsid w:val="00947443"/>
    <w:rsid w:val="00952BF2"/>
    <w:rsid w:val="009532AD"/>
    <w:rsid w:val="00956988"/>
    <w:rsid w:val="00960CBA"/>
    <w:rsid w:val="00963612"/>
    <w:rsid w:val="00970F9C"/>
    <w:rsid w:val="00972F8B"/>
    <w:rsid w:val="00981184"/>
    <w:rsid w:val="00991098"/>
    <w:rsid w:val="009C20C7"/>
    <w:rsid w:val="009D1AD0"/>
    <w:rsid w:val="009D2393"/>
    <w:rsid w:val="009E3C0C"/>
    <w:rsid w:val="009E5785"/>
    <w:rsid w:val="009E765E"/>
    <w:rsid w:val="009E7A3D"/>
    <w:rsid w:val="00A00DD7"/>
    <w:rsid w:val="00A00EC2"/>
    <w:rsid w:val="00A01655"/>
    <w:rsid w:val="00A04946"/>
    <w:rsid w:val="00A059FD"/>
    <w:rsid w:val="00A1011B"/>
    <w:rsid w:val="00A151AE"/>
    <w:rsid w:val="00A210A4"/>
    <w:rsid w:val="00A3232D"/>
    <w:rsid w:val="00A34198"/>
    <w:rsid w:val="00A46275"/>
    <w:rsid w:val="00A501BD"/>
    <w:rsid w:val="00A53CF0"/>
    <w:rsid w:val="00A61356"/>
    <w:rsid w:val="00A62679"/>
    <w:rsid w:val="00A6565D"/>
    <w:rsid w:val="00A70B56"/>
    <w:rsid w:val="00A77E25"/>
    <w:rsid w:val="00A8729A"/>
    <w:rsid w:val="00A9561C"/>
    <w:rsid w:val="00AA0B64"/>
    <w:rsid w:val="00AA3136"/>
    <w:rsid w:val="00AA44D8"/>
    <w:rsid w:val="00AA4B60"/>
    <w:rsid w:val="00AA61AC"/>
    <w:rsid w:val="00AB07D8"/>
    <w:rsid w:val="00AB1E4D"/>
    <w:rsid w:val="00AB73AF"/>
    <w:rsid w:val="00AC36F5"/>
    <w:rsid w:val="00AC49E7"/>
    <w:rsid w:val="00AC6A96"/>
    <w:rsid w:val="00AD4884"/>
    <w:rsid w:val="00AD67C5"/>
    <w:rsid w:val="00AD7747"/>
    <w:rsid w:val="00AE0338"/>
    <w:rsid w:val="00AE1EBD"/>
    <w:rsid w:val="00AE75A4"/>
    <w:rsid w:val="00AF3E09"/>
    <w:rsid w:val="00AF3EC9"/>
    <w:rsid w:val="00B03F62"/>
    <w:rsid w:val="00B10054"/>
    <w:rsid w:val="00B110E6"/>
    <w:rsid w:val="00B14261"/>
    <w:rsid w:val="00B17A35"/>
    <w:rsid w:val="00B21001"/>
    <w:rsid w:val="00B3314A"/>
    <w:rsid w:val="00B35788"/>
    <w:rsid w:val="00B443A3"/>
    <w:rsid w:val="00B5408D"/>
    <w:rsid w:val="00B54E8E"/>
    <w:rsid w:val="00B5614F"/>
    <w:rsid w:val="00B6179A"/>
    <w:rsid w:val="00B62D4A"/>
    <w:rsid w:val="00B65EA4"/>
    <w:rsid w:val="00B718AD"/>
    <w:rsid w:val="00B75780"/>
    <w:rsid w:val="00B80C4A"/>
    <w:rsid w:val="00B8639E"/>
    <w:rsid w:val="00B91516"/>
    <w:rsid w:val="00B92685"/>
    <w:rsid w:val="00B93083"/>
    <w:rsid w:val="00B93F17"/>
    <w:rsid w:val="00B953FE"/>
    <w:rsid w:val="00BA1CFC"/>
    <w:rsid w:val="00BA6213"/>
    <w:rsid w:val="00BB6608"/>
    <w:rsid w:val="00BC07B8"/>
    <w:rsid w:val="00BC2D2C"/>
    <w:rsid w:val="00BD18EA"/>
    <w:rsid w:val="00BD49A7"/>
    <w:rsid w:val="00BD69E3"/>
    <w:rsid w:val="00BD6E09"/>
    <w:rsid w:val="00BD7762"/>
    <w:rsid w:val="00BE08F9"/>
    <w:rsid w:val="00BE38A3"/>
    <w:rsid w:val="00BE5DB8"/>
    <w:rsid w:val="00BE6617"/>
    <w:rsid w:val="00BF2A83"/>
    <w:rsid w:val="00BF51AA"/>
    <w:rsid w:val="00C00AB2"/>
    <w:rsid w:val="00C01592"/>
    <w:rsid w:val="00C059B3"/>
    <w:rsid w:val="00C159D9"/>
    <w:rsid w:val="00C16008"/>
    <w:rsid w:val="00C229DD"/>
    <w:rsid w:val="00C26560"/>
    <w:rsid w:val="00C30CEA"/>
    <w:rsid w:val="00C35B1C"/>
    <w:rsid w:val="00C422F6"/>
    <w:rsid w:val="00C431E6"/>
    <w:rsid w:val="00C45466"/>
    <w:rsid w:val="00C52CAF"/>
    <w:rsid w:val="00C568CF"/>
    <w:rsid w:val="00C708AE"/>
    <w:rsid w:val="00C7154E"/>
    <w:rsid w:val="00C761AF"/>
    <w:rsid w:val="00C84C6F"/>
    <w:rsid w:val="00C8513D"/>
    <w:rsid w:val="00C929B9"/>
    <w:rsid w:val="00C962C2"/>
    <w:rsid w:val="00C976E6"/>
    <w:rsid w:val="00CA11E0"/>
    <w:rsid w:val="00CA2B84"/>
    <w:rsid w:val="00CA59BB"/>
    <w:rsid w:val="00CB1D4C"/>
    <w:rsid w:val="00CB3079"/>
    <w:rsid w:val="00CB43DE"/>
    <w:rsid w:val="00CB7386"/>
    <w:rsid w:val="00CC522D"/>
    <w:rsid w:val="00CC60AB"/>
    <w:rsid w:val="00CD0E5E"/>
    <w:rsid w:val="00CD3C70"/>
    <w:rsid w:val="00CE2781"/>
    <w:rsid w:val="00CE6F9E"/>
    <w:rsid w:val="00CF1A12"/>
    <w:rsid w:val="00CF2E3F"/>
    <w:rsid w:val="00CF5746"/>
    <w:rsid w:val="00D02AFB"/>
    <w:rsid w:val="00D03E4C"/>
    <w:rsid w:val="00D04245"/>
    <w:rsid w:val="00D05040"/>
    <w:rsid w:val="00D17630"/>
    <w:rsid w:val="00D27BD9"/>
    <w:rsid w:val="00D4060C"/>
    <w:rsid w:val="00D437AD"/>
    <w:rsid w:val="00D5178A"/>
    <w:rsid w:val="00D52204"/>
    <w:rsid w:val="00D57C56"/>
    <w:rsid w:val="00D67943"/>
    <w:rsid w:val="00D76063"/>
    <w:rsid w:val="00D77D0C"/>
    <w:rsid w:val="00D81D41"/>
    <w:rsid w:val="00D83262"/>
    <w:rsid w:val="00D84E7D"/>
    <w:rsid w:val="00D94FAF"/>
    <w:rsid w:val="00D950CD"/>
    <w:rsid w:val="00D96A5A"/>
    <w:rsid w:val="00DB05DC"/>
    <w:rsid w:val="00DB66A1"/>
    <w:rsid w:val="00DB7315"/>
    <w:rsid w:val="00DC14D4"/>
    <w:rsid w:val="00DC2D17"/>
    <w:rsid w:val="00DC5CB2"/>
    <w:rsid w:val="00DD0FD5"/>
    <w:rsid w:val="00DD2049"/>
    <w:rsid w:val="00DE54AF"/>
    <w:rsid w:val="00E13575"/>
    <w:rsid w:val="00E31218"/>
    <w:rsid w:val="00E31F84"/>
    <w:rsid w:val="00E3499C"/>
    <w:rsid w:val="00E356FF"/>
    <w:rsid w:val="00E375DD"/>
    <w:rsid w:val="00E41806"/>
    <w:rsid w:val="00E515F9"/>
    <w:rsid w:val="00E51E55"/>
    <w:rsid w:val="00E51E83"/>
    <w:rsid w:val="00E52C58"/>
    <w:rsid w:val="00E54E69"/>
    <w:rsid w:val="00E5551F"/>
    <w:rsid w:val="00E71A7A"/>
    <w:rsid w:val="00E74FDD"/>
    <w:rsid w:val="00E76F9F"/>
    <w:rsid w:val="00E77095"/>
    <w:rsid w:val="00E827D0"/>
    <w:rsid w:val="00E93B4A"/>
    <w:rsid w:val="00E95562"/>
    <w:rsid w:val="00EA7A0A"/>
    <w:rsid w:val="00EC0A95"/>
    <w:rsid w:val="00EC629D"/>
    <w:rsid w:val="00ED0F72"/>
    <w:rsid w:val="00ED67EB"/>
    <w:rsid w:val="00ED6946"/>
    <w:rsid w:val="00EE3D1B"/>
    <w:rsid w:val="00F00424"/>
    <w:rsid w:val="00F10433"/>
    <w:rsid w:val="00F13ADE"/>
    <w:rsid w:val="00F174B1"/>
    <w:rsid w:val="00F20343"/>
    <w:rsid w:val="00F2765C"/>
    <w:rsid w:val="00F55453"/>
    <w:rsid w:val="00F564E2"/>
    <w:rsid w:val="00F61D67"/>
    <w:rsid w:val="00F6398E"/>
    <w:rsid w:val="00F64237"/>
    <w:rsid w:val="00F74ED0"/>
    <w:rsid w:val="00F82EE3"/>
    <w:rsid w:val="00F834D5"/>
    <w:rsid w:val="00F85BE1"/>
    <w:rsid w:val="00F8682F"/>
    <w:rsid w:val="00F92B10"/>
    <w:rsid w:val="00FA1CAD"/>
    <w:rsid w:val="00FA5B8A"/>
    <w:rsid w:val="00FB0070"/>
    <w:rsid w:val="00FB0D8D"/>
    <w:rsid w:val="00FC39C5"/>
    <w:rsid w:val="00FE00EE"/>
    <w:rsid w:val="00FE024D"/>
    <w:rsid w:val="00FF5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045D8"/>
  <w15:docId w15:val="{C2F155B3-9CF2-4F15-B36D-FBECD8C6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A80"/>
    <w:rPr>
      <w:sz w:val="28"/>
      <w:szCs w:val="28"/>
    </w:rPr>
  </w:style>
  <w:style w:type="paragraph" w:styleId="Heading2">
    <w:name w:val="heading 2"/>
    <w:basedOn w:val="Normal"/>
    <w:next w:val="Normal"/>
    <w:link w:val="Heading2Char"/>
    <w:qFormat/>
    <w:rsid w:val="00945A80"/>
    <w:pPr>
      <w:keepNext/>
      <w:overflowPunct w:val="0"/>
      <w:autoSpaceDE w:val="0"/>
      <w:autoSpaceDN w:val="0"/>
      <w:adjustRightInd w:val="0"/>
      <w:jc w:val="center"/>
      <w:textAlignment w:val="baseline"/>
      <w:outlineLvl w:val="1"/>
    </w:pPr>
    <w:rPr>
      <w:rFonts w:ascii=".VnArial Narrow" w:hAnsi=".Vn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45A80"/>
    <w:rPr>
      <w:color w:val="0000FF"/>
      <w:u w:val="single"/>
    </w:rPr>
  </w:style>
  <w:style w:type="character" w:styleId="PageNumber">
    <w:name w:val="page number"/>
    <w:basedOn w:val="DefaultParagraphFont"/>
    <w:rsid w:val="00945A80"/>
  </w:style>
  <w:style w:type="character" w:customStyle="1" w:styleId="BalloonTextChar">
    <w:name w:val="Balloon Text Char"/>
    <w:link w:val="BalloonText"/>
    <w:rsid w:val="00945A80"/>
    <w:rPr>
      <w:rFonts w:ascii="Tahoma" w:hAnsi="Tahoma" w:cs="Tahoma"/>
      <w:sz w:val="16"/>
      <w:szCs w:val="16"/>
    </w:rPr>
  </w:style>
  <w:style w:type="character" w:customStyle="1" w:styleId="Heading2Char">
    <w:name w:val="Heading 2 Char"/>
    <w:link w:val="Heading2"/>
    <w:rsid w:val="00945A80"/>
    <w:rPr>
      <w:rFonts w:ascii=".VnArial Narrow" w:hAnsi=".VnArial Narrow" w:cs=".VnArial Narrow"/>
      <w:b/>
      <w:bCs/>
      <w:sz w:val="28"/>
      <w:szCs w:val="28"/>
    </w:rPr>
  </w:style>
  <w:style w:type="paragraph" w:styleId="BalloonText">
    <w:name w:val="Balloon Text"/>
    <w:basedOn w:val="Normal"/>
    <w:link w:val="BalloonTextChar"/>
    <w:rsid w:val="00945A80"/>
    <w:rPr>
      <w:rFonts w:ascii="Tahoma" w:hAnsi="Tahoma"/>
      <w:sz w:val="16"/>
      <w:szCs w:val="16"/>
    </w:rPr>
  </w:style>
  <w:style w:type="paragraph" w:styleId="Footer">
    <w:name w:val="footer"/>
    <w:basedOn w:val="Normal"/>
    <w:rsid w:val="00945A80"/>
    <w:pPr>
      <w:tabs>
        <w:tab w:val="center" w:pos="4320"/>
        <w:tab w:val="right" w:pos="8640"/>
      </w:tabs>
    </w:pPr>
    <w:rPr>
      <w:sz w:val="26"/>
      <w:szCs w:val="26"/>
    </w:rPr>
  </w:style>
  <w:style w:type="paragraph" w:customStyle="1" w:styleId="CharCharCharCharCharCharCharCharChar">
    <w:name w:val="Char Char Char Char Char Char Char Char Char"/>
    <w:basedOn w:val="Normal"/>
    <w:rsid w:val="00945A80"/>
    <w:pPr>
      <w:spacing w:after="160" w:line="240" w:lineRule="exact"/>
    </w:pPr>
    <w:rPr>
      <w:rFonts w:ascii="Arial" w:hAnsi="Arial" w:cs="Arial"/>
      <w:sz w:val="22"/>
      <w:szCs w:val="22"/>
    </w:rPr>
  </w:style>
  <w:style w:type="paragraph" w:customStyle="1" w:styleId="CharCharCharChar">
    <w:name w:val="Char Char Char Char"/>
    <w:basedOn w:val="Normal"/>
    <w:rsid w:val="00945A80"/>
    <w:pPr>
      <w:pageBreakBefore/>
      <w:spacing w:before="100" w:beforeAutospacing="1" w:after="100" w:afterAutospacing="1"/>
      <w:jc w:val="both"/>
    </w:pPr>
    <w:rPr>
      <w:rFonts w:ascii="Tahoma" w:hAnsi="Tahoma"/>
      <w:sz w:val="20"/>
      <w:szCs w:val="20"/>
    </w:rPr>
  </w:style>
  <w:style w:type="paragraph" w:customStyle="1" w:styleId="CharCharCharChar1">
    <w:name w:val="Char Char Char Char1"/>
    <w:basedOn w:val="Normal"/>
    <w:rsid w:val="00945A80"/>
    <w:pPr>
      <w:spacing w:after="160" w:line="240" w:lineRule="exact"/>
    </w:pPr>
    <w:rPr>
      <w:rFonts w:ascii="Arial" w:hAnsi="Arial"/>
      <w:sz w:val="22"/>
      <w:szCs w:val="22"/>
    </w:rPr>
  </w:style>
  <w:style w:type="table" w:styleId="TableGrid">
    <w:name w:val="Table Grid"/>
    <w:basedOn w:val="TableNormal"/>
    <w:uiPriority w:val="59"/>
    <w:rsid w:val="00B54E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392B74"/>
    <w:pPr>
      <w:tabs>
        <w:tab w:val="center" w:pos="4680"/>
        <w:tab w:val="right" w:pos="9360"/>
      </w:tabs>
    </w:pPr>
  </w:style>
  <w:style w:type="character" w:customStyle="1" w:styleId="HeaderChar">
    <w:name w:val="Header Char"/>
    <w:basedOn w:val="DefaultParagraphFont"/>
    <w:link w:val="Header"/>
    <w:uiPriority w:val="99"/>
    <w:semiHidden/>
    <w:rsid w:val="00392B74"/>
    <w:rPr>
      <w:sz w:val="28"/>
      <w:szCs w:val="28"/>
    </w:rPr>
  </w:style>
  <w:style w:type="paragraph" w:styleId="NormalWeb">
    <w:name w:val="Normal (Web)"/>
    <w:basedOn w:val="Normal"/>
    <w:uiPriority w:val="99"/>
    <w:unhideWhenUsed/>
    <w:rsid w:val="007C6F18"/>
    <w:pPr>
      <w:spacing w:before="100" w:beforeAutospacing="1" w:after="100" w:afterAutospacing="1"/>
    </w:pPr>
    <w:rPr>
      <w:sz w:val="24"/>
      <w:szCs w:val="24"/>
    </w:rPr>
  </w:style>
  <w:style w:type="paragraph" w:styleId="ListParagraph">
    <w:name w:val="List Paragraph"/>
    <w:basedOn w:val="Normal"/>
    <w:uiPriority w:val="34"/>
    <w:qFormat/>
    <w:rsid w:val="009C2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80548">
      <w:bodyDiv w:val="1"/>
      <w:marLeft w:val="0"/>
      <w:marRight w:val="0"/>
      <w:marTop w:val="0"/>
      <w:marBottom w:val="0"/>
      <w:divBdr>
        <w:top w:val="none" w:sz="0" w:space="0" w:color="auto"/>
        <w:left w:val="none" w:sz="0" w:space="0" w:color="auto"/>
        <w:bottom w:val="none" w:sz="0" w:space="0" w:color="auto"/>
        <w:right w:val="none" w:sz="0" w:space="0" w:color="auto"/>
      </w:divBdr>
    </w:div>
    <w:div w:id="418407563">
      <w:bodyDiv w:val="1"/>
      <w:marLeft w:val="0"/>
      <w:marRight w:val="0"/>
      <w:marTop w:val="0"/>
      <w:marBottom w:val="0"/>
      <w:divBdr>
        <w:top w:val="none" w:sz="0" w:space="0" w:color="auto"/>
        <w:left w:val="none" w:sz="0" w:space="0" w:color="auto"/>
        <w:bottom w:val="none" w:sz="0" w:space="0" w:color="auto"/>
        <w:right w:val="none" w:sz="0" w:space="0" w:color="auto"/>
      </w:divBdr>
    </w:div>
    <w:div w:id="456530631">
      <w:bodyDiv w:val="1"/>
      <w:marLeft w:val="0"/>
      <w:marRight w:val="0"/>
      <w:marTop w:val="0"/>
      <w:marBottom w:val="0"/>
      <w:divBdr>
        <w:top w:val="none" w:sz="0" w:space="0" w:color="auto"/>
        <w:left w:val="none" w:sz="0" w:space="0" w:color="auto"/>
        <w:bottom w:val="none" w:sz="0" w:space="0" w:color="auto"/>
        <w:right w:val="none" w:sz="0" w:space="0" w:color="auto"/>
      </w:divBdr>
    </w:div>
    <w:div w:id="638337243">
      <w:bodyDiv w:val="1"/>
      <w:marLeft w:val="0"/>
      <w:marRight w:val="0"/>
      <w:marTop w:val="0"/>
      <w:marBottom w:val="0"/>
      <w:divBdr>
        <w:top w:val="none" w:sz="0" w:space="0" w:color="auto"/>
        <w:left w:val="none" w:sz="0" w:space="0" w:color="auto"/>
        <w:bottom w:val="none" w:sz="0" w:space="0" w:color="auto"/>
        <w:right w:val="none" w:sz="0" w:space="0" w:color="auto"/>
      </w:divBdr>
      <w:divsChild>
        <w:div w:id="1496070816">
          <w:marLeft w:val="0"/>
          <w:marRight w:val="0"/>
          <w:marTop w:val="0"/>
          <w:marBottom w:val="0"/>
          <w:divBdr>
            <w:top w:val="none" w:sz="0" w:space="0" w:color="auto"/>
            <w:left w:val="none" w:sz="0" w:space="0" w:color="auto"/>
            <w:bottom w:val="none" w:sz="0" w:space="0" w:color="auto"/>
            <w:right w:val="none" w:sz="0" w:space="0" w:color="auto"/>
          </w:divBdr>
        </w:div>
      </w:divsChild>
    </w:div>
    <w:div w:id="666907464">
      <w:bodyDiv w:val="1"/>
      <w:marLeft w:val="0"/>
      <w:marRight w:val="0"/>
      <w:marTop w:val="0"/>
      <w:marBottom w:val="0"/>
      <w:divBdr>
        <w:top w:val="none" w:sz="0" w:space="0" w:color="auto"/>
        <w:left w:val="none" w:sz="0" w:space="0" w:color="auto"/>
        <w:bottom w:val="none" w:sz="0" w:space="0" w:color="auto"/>
        <w:right w:val="none" w:sz="0" w:space="0" w:color="auto"/>
      </w:divBdr>
    </w:div>
    <w:div w:id="689450549">
      <w:bodyDiv w:val="1"/>
      <w:marLeft w:val="0"/>
      <w:marRight w:val="0"/>
      <w:marTop w:val="0"/>
      <w:marBottom w:val="0"/>
      <w:divBdr>
        <w:top w:val="none" w:sz="0" w:space="0" w:color="auto"/>
        <w:left w:val="none" w:sz="0" w:space="0" w:color="auto"/>
        <w:bottom w:val="none" w:sz="0" w:space="0" w:color="auto"/>
        <w:right w:val="none" w:sz="0" w:space="0" w:color="auto"/>
      </w:divBdr>
    </w:div>
    <w:div w:id="801969132">
      <w:bodyDiv w:val="1"/>
      <w:marLeft w:val="0"/>
      <w:marRight w:val="0"/>
      <w:marTop w:val="0"/>
      <w:marBottom w:val="0"/>
      <w:divBdr>
        <w:top w:val="none" w:sz="0" w:space="0" w:color="auto"/>
        <w:left w:val="none" w:sz="0" w:space="0" w:color="auto"/>
        <w:bottom w:val="none" w:sz="0" w:space="0" w:color="auto"/>
        <w:right w:val="none" w:sz="0" w:space="0" w:color="auto"/>
      </w:divBdr>
    </w:div>
    <w:div w:id="813523709">
      <w:bodyDiv w:val="1"/>
      <w:marLeft w:val="0"/>
      <w:marRight w:val="0"/>
      <w:marTop w:val="0"/>
      <w:marBottom w:val="0"/>
      <w:divBdr>
        <w:top w:val="none" w:sz="0" w:space="0" w:color="auto"/>
        <w:left w:val="none" w:sz="0" w:space="0" w:color="auto"/>
        <w:bottom w:val="none" w:sz="0" w:space="0" w:color="auto"/>
        <w:right w:val="none" w:sz="0" w:space="0" w:color="auto"/>
      </w:divBdr>
    </w:div>
    <w:div w:id="893811882">
      <w:bodyDiv w:val="1"/>
      <w:marLeft w:val="0"/>
      <w:marRight w:val="0"/>
      <w:marTop w:val="0"/>
      <w:marBottom w:val="0"/>
      <w:divBdr>
        <w:top w:val="none" w:sz="0" w:space="0" w:color="auto"/>
        <w:left w:val="none" w:sz="0" w:space="0" w:color="auto"/>
        <w:bottom w:val="none" w:sz="0" w:space="0" w:color="auto"/>
        <w:right w:val="none" w:sz="0" w:space="0" w:color="auto"/>
      </w:divBdr>
    </w:div>
    <w:div w:id="1039629916">
      <w:bodyDiv w:val="1"/>
      <w:marLeft w:val="0"/>
      <w:marRight w:val="0"/>
      <w:marTop w:val="0"/>
      <w:marBottom w:val="0"/>
      <w:divBdr>
        <w:top w:val="none" w:sz="0" w:space="0" w:color="auto"/>
        <w:left w:val="none" w:sz="0" w:space="0" w:color="auto"/>
        <w:bottom w:val="none" w:sz="0" w:space="0" w:color="auto"/>
        <w:right w:val="none" w:sz="0" w:space="0" w:color="auto"/>
      </w:divBdr>
    </w:div>
    <w:div w:id="15127982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4164C-A104-4CFE-A7CA-80B40B68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4</Pages>
  <Words>1245</Words>
  <Characters>7098</Characters>
  <Application>Microsoft Office Word</Application>
  <DocSecurity>0</DocSecurity>
  <PresentationFormat/>
  <Lines>59</Lines>
  <Paragraphs>16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UBND Tá»ˆNH LÃ‚M Äá»’NG</vt:lpstr>
    </vt:vector>
  </TitlesOfParts>
  <Company>&lt;arabianhorse&gt;</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Tá»ˆNH LÃ‚M Äá»’NG</dc:title>
  <dc:creator>Home</dc:creator>
  <cp:lastModifiedBy>USER</cp:lastModifiedBy>
  <cp:revision>20</cp:revision>
  <cp:lastPrinted>2024-06-04T06:55:00Z</cp:lastPrinted>
  <dcterms:created xsi:type="dcterms:W3CDTF">2024-06-04T01:33:00Z</dcterms:created>
  <dcterms:modified xsi:type="dcterms:W3CDTF">2024-06-17T09:53:00Z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ies>
</file>