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04" w:type="pct"/>
        <w:tblLook w:val="04A0" w:firstRow="1" w:lastRow="0" w:firstColumn="1" w:lastColumn="0" w:noHBand="0" w:noVBand="1"/>
      </w:tblPr>
      <w:tblGrid>
        <w:gridCol w:w="374"/>
        <w:gridCol w:w="2405"/>
        <w:gridCol w:w="700"/>
        <w:gridCol w:w="5782"/>
      </w:tblGrid>
      <w:tr w:rsidR="008D5FA2">
        <w:tc>
          <w:tcPr>
            <w:tcW w:w="3461" w:type="dxa"/>
            <w:gridSpan w:val="3"/>
            <w:shd w:val="clear" w:color="auto" w:fill="auto"/>
          </w:tcPr>
          <w:p w:rsidR="008D5FA2" w:rsidRDefault="009F08D1">
            <w:pPr>
              <w:spacing w:before="0" w:after="120" w:line="240" w:lineRule="auto"/>
              <w:jc w:val="center"/>
              <w:rPr>
                <w:rFonts w:cs="Times New Roman"/>
                <w:b/>
                <w:sz w:val="26"/>
                <w:szCs w:val="26"/>
              </w:rPr>
            </w:pPr>
            <w:r>
              <w:rPr>
                <w:rFonts w:cs="Times New Roman"/>
                <w:b/>
                <w:bCs/>
                <w:noProof/>
                <w:sz w:val="26"/>
                <w:szCs w:val="26"/>
                <w:lang w:val="en-US" w:eastAsia="en-US"/>
              </w:rPr>
              <mc:AlternateContent>
                <mc:Choice Requires="wps">
                  <w:drawing>
                    <wp:anchor distT="0" distB="0" distL="114300" distR="114300" simplePos="0" relativeHeight="251661312" behindDoc="0" locked="0" layoutInCell="1" allowOverlap="1">
                      <wp:simplePos x="0" y="0"/>
                      <wp:positionH relativeFrom="column">
                        <wp:posOffset>729615</wp:posOffset>
                      </wp:positionH>
                      <wp:positionV relativeFrom="paragraph">
                        <wp:posOffset>270510</wp:posOffset>
                      </wp:positionV>
                      <wp:extent cx="6953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775D4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45pt,21.3pt" to="112.2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" strokecolor="black [3200]" strokeweight=".5pt">
                      <v:stroke joinstyle="miter"/>
                    </v:line>
                  </w:pict>
                </mc:Fallback>
              </mc:AlternateContent>
            </w:r>
            <w:r>
              <w:rPr>
                <w:rFonts w:cs="Times New Roman"/>
                <w:b/>
                <w:bCs/>
                <w:sz w:val="26"/>
                <w:szCs w:val="26"/>
                <w:lang w:val="nl-NL" w:eastAsia="en-US"/>
              </w:rPr>
              <w:t>BỘ TÀI CHÍNH</w:t>
            </w:r>
            <w:r>
              <w:rPr>
                <w:rFonts w:cs="Times New Roman"/>
                <w:b/>
                <w:bCs/>
                <w:sz w:val="26"/>
                <w:szCs w:val="26"/>
                <w:lang w:val="nl-NL" w:eastAsia="en-US"/>
              </w:rPr>
              <w:br/>
            </w:r>
          </w:p>
        </w:tc>
        <w:tc>
          <w:tcPr>
            <w:tcW w:w="5753" w:type="dxa"/>
            <w:shd w:val="clear" w:color="auto" w:fill="auto"/>
          </w:tcPr>
          <w:p w:rsidR="008D5FA2" w:rsidRDefault="009F08D1">
            <w:pPr>
              <w:spacing w:before="0" w:after="120" w:line="240" w:lineRule="auto"/>
              <w:jc w:val="center"/>
              <w:rPr>
                <w:rFonts w:cs="Times New Roman"/>
                <w:b/>
                <w:sz w:val="26"/>
                <w:szCs w:val="26"/>
              </w:rPr>
            </w:pPr>
            <w:r>
              <w:rPr>
                <w:rFonts w:cs="Times New Roman"/>
                <w:b/>
                <w:noProof/>
                <w:sz w:val="26"/>
                <w:szCs w:val="26"/>
                <w:lang w:val="en-US" w:eastAsia="en-US"/>
              </w:rPr>
              <mc:AlternateContent>
                <mc:Choice Requires="wps">
                  <w:drawing>
                    <wp:anchor distT="0" distB="0" distL="114300" distR="114300" simplePos="0" relativeHeight="251660288" behindDoc="0" locked="0" layoutInCell="1" allowOverlap="1">
                      <wp:simplePos x="0" y="0"/>
                      <wp:positionH relativeFrom="column">
                        <wp:posOffset>734695</wp:posOffset>
                      </wp:positionH>
                      <wp:positionV relativeFrom="paragraph">
                        <wp:posOffset>432435</wp:posOffset>
                      </wp:positionV>
                      <wp:extent cx="21431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061C6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85pt,34.05pt" to="226.6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" strokecolor="black [3200]" strokeweight=".5pt">
                      <v:stroke joinstyle="miter"/>
                    </v:line>
                  </w:pict>
                </mc:Fallback>
              </mc:AlternateContent>
            </w:r>
            <w:r>
              <w:rPr>
                <w:rFonts w:cs="Times New Roman"/>
                <w:b/>
                <w:sz w:val="26"/>
                <w:szCs w:val="26"/>
              </w:rPr>
              <w:t>CỘNG HÒA XÃ HỘI CHỦ NGHĨA VIỆT NAM</w:t>
            </w:r>
            <w:r>
              <w:rPr>
                <w:rFonts w:cs="Times New Roman"/>
                <w:b/>
                <w:sz w:val="26"/>
                <w:szCs w:val="26"/>
              </w:rPr>
              <w:br/>
            </w:r>
            <w:r>
              <w:rPr>
                <w:rFonts w:cs="Times New Roman"/>
                <w:b/>
                <w:szCs w:val="26"/>
              </w:rPr>
              <w:t xml:space="preserve">Độc lập - Tự do - Hạnh phúc </w:t>
            </w:r>
            <w:r>
              <w:rPr>
                <w:rFonts w:cs="Times New Roman"/>
                <w:b/>
                <w:sz w:val="26"/>
                <w:szCs w:val="26"/>
              </w:rPr>
              <w:br/>
            </w:r>
          </w:p>
        </w:tc>
      </w:tr>
      <w:tr w:rsidR="008D5FA2">
        <w:tc>
          <w:tcPr>
            <w:tcW w:w="3461" w:type="dxa"/>
            <w:gridSpan w:val="3"/>
            <w:shd w:val="clear" w:color="auto" w:fill="auto"/>
          </w:tcPr>
          <w:p w:rsidR="008D5FA2" w:rsidRDefault="009F08D1" w:rsidP="00CA066F">
            <w:pPr>
              <w:spacing w:before="0" w:after="120" w:line="240" w:lineRule="auto"/>
              <w:jc w:val="center"/>
              <w:rPr>
                <w:rFonts w:cs="Times New Roman"/>
                <w:b/>
                <w:bCs/>
                <w:sz w:val="26"/>
                <w:szCs w:val="26"/>
                <w:lang w:val="nl-NL" w:eastAsia="en-US"/>
              </w:rPr>
            </w:pPr>
            <w:r>
              <w:rPr>
                <w:rFonts w:cs="Times New Roman"/>
                <w:sz w:val="26"/>
                <w:szCs w:val="26"/>
                <w:lang w:val="nl-NL" w:eastAsia="en-US"/>
              </w:rPr>
              <w:t>Số: ......</w:t>
            </w:r>
            <w:r w:rsidR="00CA066F">
              <w:rPr>
                <w:rFonts w:cs="Times New Roman"/>
                <w:sz w:val="26"/>
                <w:szCs w:val="26"/>
                <w:lang w:val="nl-NL" w:eastAsia="en-US"/>
              </w:rPr>
              <w:t>.</w:t>
            </w:r>
            <w:r>
              <w:rPr>
                <w:rFonts w:cs="Times New Roman"/>
                <w:sz w:val="26"/>
                <w:szCs w:val="26"/>
                <w:lang w:val="nl-NL" w:eastAsia="en-US"/>
              </w:rPr>
              <w:t>/........./TT-BTC</w:t>
            </w:r>
          </w:p>
        </w:tc>
        <w:tc>
          <w:tcPr>
            <w:tcW w:w="5753" w:type="dxa"/>
            <w:shd w:val="clear" w:color="auto" w:fill="auto"/>
          </w:tcPr>
          <w:p w:rsidR="008D5FA2" w:rsidRDefault="009F08D1">
            <w:pPr>
              <w:spacing w:before="0" w:after="120" w:line="240" w:lineRule="auto"/>
              <w:jc w:val="center"/>
              <w:rPr>
                <w:rFonts w:cs="Times New Roman"/>
                <w:b/>
                <w:sz w:val="26"/>
                <w:szCs w:val="26"/>
              </w:rPr>
            </w:pPr>
            <w:r>
              <w:rPr>
                <w:rFonts w:cs="Times New Roman"/>
                <w:i/>
                <w:iCs/>
                <w:szCs w:val="26"/>
                <w:lang w:val="nl-NL" w:eastAsia="en-US"/>
              </w:rPr>
              <w:t xml:space="preserve">Hà Nội, ngày </w:t>
            </w:r>
            <w:r w:rsidR="00CA066F">
              <w:rPr>
                <w:rFonts w:cs="Times New Roman"/>
                <w:i/>
                <w:iCs/>
                <w:szCs w:val="26"/>
                <w:lang w:val="nl-NL" w:eastAsia="en-US"/>
              </w:rPr>
              <w:t xml:space="preserve"> </w:t>
            </w:r>
            <w:r>
              <w:rPr>
                <w:rFonts w:cs="Times New Roman"/>
                <w:i/>
                <w:iCs/>
                <w:szCs w:val="26"/>
                <w:lang w:val="nl-NL" w:eastAsia="en-US"/>
              </w:rPr>
              <w:t xml:space="preserve">   tháng      năm</w:t>
            </w:r>
            <w:r w:rsidR="00CA066F">
              <w:rPr>
                <w:rFonts w:cs="Times New Roman"/>
                <w:i/>
                <w:iCs/>
                <w:szCs w:val="26"/>
                <w:lang w:val="nl-NL" w:eastAsia="en-US"/>
              </w:rPr>
              <w:t xml:space="preserve"> 2025</w:t>
            </w:r>
          </w:p>
        </w:tc>
      </w:tr>
      <w:tr w:rsidR="008D5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72" w:type="dxa"/>
          <w:wAfter w:w="6449" w:type="dxa"/>
          <w:trHeight w:val="818"/>
        </w:trPr>
        <w:tc>
          <w:tcPr>
            <w:tcW w:w="2393" w:type="dxa"/>
            <w:shd w:val="clear" w:color="auto" w:fill="auto"/>
            <w:vAlign w:val="center"/>
          </w:tcPr>
          <w:p w:rsidR="008D5FA2" w:rsidRDefault="009F08D1">
            <w:pPr>
              <w:pStyle w:val="NormalWeb"/>
              <w:spacing w:before="0" w:beforeAutospacing="0" w:after="0" w:afterAutospacing="0"/>
              <w:jc w:val="center"/>
              <w:rPr>
                <w:b/>
                <w:sz w:val="26"/>
                <w:szCs w:val="26"/>
              </w:rPr>
            </w:pPr>
            <w:r>
              <w:rPr>
                <w:b/>
                <w:sz w:val="26"/>
                <w:szCs w:val="26"/>
              </w:rPr>
              <w:t>Dự thảo</w:t>
            </w:r>
          </w:p>
          <w:p w:rsidR="008D5FA2" w:rsidRDefault="009F08D1">
            <w:pPr>
              <w:pStyle w:val="NormalWeb"/>
              <w:spacing w:before="0" w:beforeAutospacing="0" w:after="0" w:afterAutospacing="0"/>
              <w:jc w:val="center"/>
              <w:rPr>
                <w:sz w:val="28"/>
                <w:szCs w:val="28"/>
              </w:rPr>
            </w:pPr>
            <w:r>
              <w:rPr>
                <w:b/>
                <w:sz w:val="26"/>
                <w:szCs w:val="26"/>
              </w:rPr>
              <w:t>Ngày      /5/2025</w:t>
            </w:r>
          </w:p>
        </w:tc>
      </w:tr>
    </w:tbl>
    <w:p w:rsidR="008D5FA2" w:rsidRDefault="008D5FA2">
      <w:pPr>
        <w:tabs>
          <w:tab w:val="left" w:pos="1370"/>
          <w:tab w:val="left" w:pos="4074"/>
          <w:tab w:val="center" w:pos="4819"/>
        </w:tabs>
        <w:spacing w:before="0" w:after="120" w:line="240" w:lineRule="auto"/>
        <w:jc w:val="left"/>
        <w:rPr>
          <w:rFonts w:cs="Times New Roman"/>
          <w:b/>
          <w:sz w:val="26"/>
          <w:szCs w:val="26"/>
          <w:lang w:val="en-US"/>
        </w:rPr>
      </w:pPr>
    </w:p>
    <w:p w:rsidR="008D5FA2" w:rsidRDefault="009F08D1">
      <w:pPr>
        <w:tabs>
          <w:tab w:val="left" w:pos="1370"/>
          <w:tab w:val="left" w:pos="4074"/>
          <w:tab w:val="center" w:pos="4819"/>
        </w:tabs>
        <w:spacing w:before="0" w:after="0" w:line="360" w:lineRule="auto"/>
        <w:jc w:val="center"/>
        <w:rPr>
          <w:rFonts w:cs="Times New Roman"/>
          <w:b/>
        </w:rPr>
      </w:pPr>
      <w:bookmarkStart w:id="0" w:name="loai_1"/>
      <w:r>
        <w:rPr>
          <w:rFonts w:cs="Times New Roman"/>
          <w:b/>
        </w:rPr>
        <w:t>THÔNG TƯ</w:t>
      </w:r>
      <w:bookmarkEnd w:id="0"/>
    </w:p>
    <w:p w:rsidR="00FF2E21" w:rsidRDefault="009F08D1" w:rsidP="00FF2E21">
      <w:pPr>
        <w:tabs>
          <w:tab w:val="left" w:pos="4074"/>
        </w:tabs>
        <w:spacing w:before="0" w:after="0" w:line="240" w:lineRule="auto"/>
        <w:jc w:val="center"/>
        <w:rPr>
          <w:b/>
          <w:lang w:val="en-US"/>
        </w:rPr>
      </w:pPr>
      <w:bookmarkStart w:id="1" w:name="loai_1_name"/>
      <w:r>
        <w:rPr>
          <w:b/>
        </w:rPr>
        <w:t xml:space="preserve">Sửa </w:t>
      </w:r>
      <w:bookmarkEnd w:id="1"/>
      <w:r>
        <w:rPr>
          <w:b/>
        </w:rPr>
        <w:t xml:space="preserve">đổi, bổ sung </w:t>
      </w:r>
      <w:r w:rsidR="00262440">
        <w:rPr>
          <w:b/>
        </w:rPr>
        <w:t>Thông tư 80/2021/TT-BTC ngày 29</w:t>
      </w:r>
      <w:r w:rsidR="00FF2E21">
        <w:rPr>
          <w:b/>
          <w:lang w:val="en-US"/>
        </w:rPr>
        <w:t xml:space="preserve"> tháng </w:t>
      </w:r>
      <w:r w:rsidR="00262440">
        <w:rPr>
          <w:b/>
        </w:rPr>
        <w:t>9</w:t>
      </w:r>
      <w:r w:rsidR="00FF2E21">
        <w:rPr>
          <w:b/>
          <w:lang w:val="en-US"/>
        </w:rPr>
        <w:t xml:space="preserve"> </w:t>
      </w:r>
    </w:p>
    <w:p w:rsidR="00FF2E21" w:rsidRDefault="00FF2E21" w:rsidP="00FF2E21">
      <w:pPr>
        <w:tabs>
          <w:tab w:val="left" w:pos="4074"/>
        </w:tabs>
        <w:spacing w:before="0" w:after="0" w:line="240" w:lineRule="auto"/>
        <w:jc w:val="center"/>
        <w:rPr>
          <w:b/>
        </w:rPr>
      </w:pPr>
      <w:r>
        <w:rPr>
          <w:b/>
          <w:lang w:val="en-US"/>
        </w:rPr>
        <w:t xml:space="preserve">năm </w:t>
      </w:r>
      <w:r w:rsidR="00262440">
        <w:rPr>
          <w:b/>
        </w:rPr>
        <w:t xml:space="preserve">2021 của Bộ Tài chính hướng dẫn thi hành một số điều của </w:t>
      </w:r>
    </w:p>
    <w:p w:rsidR="00FF2E21" w:rsidRDefault="00262440" w:rsidP="00FF2E21">
      <w:pPr>
        <w:tabs>
          <w:tab w:val="left" w:pos="4074"/>
        </w:tabs>
        <w:spacing w:before="0" w:after="0" w:line="240" w:lineRule="auto"/>
        <w:jc w:val="center"/>
        <w:rPr>
          <w:b/>
          <w:lang w:val="en-US"/>
        </w:rPr>
      </w:pPr>
      <w:r>
        <w:rPr>
          <w:b/>
        </w:rPr>
        <w:t>Luật Quản lý thuế và Nghị định số 126/2020/NĐ-CP ngày 19</w:t>
      </w:r>
      <w:r w:rsidR="00FF2E21">
        <w:rPr>
          <w:b/>
          <w:lang w:val="en-US"/>
        </w:rPr>
        <w:t xml:space="preserve"> tháng </w:t>
      </w:r>
      <w:r>
        <w:rPr>
          <w:b/>
        </w:rPr>
        <w:t>10</w:t>
      </w:r>
      <w:r w:rsidR="00FF2E21">
        <w:rPr>
          <w:b/>
          <w:lang w:val="en-US"/>
        </w:rPr>
        <w:t xml:space="preserve"> </w:t>
      </w:r>
    </w:p>
    <w:p w:rsidR="008D5FA2" w:rsidRDefault="00FF2E21" w:rsidP="00FF2E21">
      <w:pPr>
        <w:tabs>
          <w:tab w:val="left" w:pos="4074"/>
        </w:tabs>
        <w:spacing w:before="0" w:after="0" w:line="240" w:lineRule="auto"/>
        <w:jc w:val="center"/>
        <w:rPr>
          <w:b/>
        </w:rPr>
      </w:pPr>
      <w:r>
        <w:rPr>
          <w:b/>
          <w:lang w:val="en-US"/>
        </w:rPr>
        <w:t xml:space="preserve">năm </w:t>
      </w:r>
      <w:r w:rsidR="00262440">
        <w:rPr>
          <w:b/>
        </w:rPr>
        <w:t>2020 của Chính phủ quy định chi tiết một số điều của Luật Quản lý thuế</w:t>
      </w:r>
      <w:r w:rsidR="00262440">
        <w:rPr>
          <w:b/>
          <w:lang w:val="en-US"/>
        </w:rPr>
        <w:t>,</w:t>
      </w:r>
      <w:r>
        <w:rPr>
          <w:b/>
          <w:lang w:val="en-US"/>
        </w:rPr>
        <w:t xml:space="preserve"> </w:t>
      </w:r>
      <w:r w:rsidR="009F08D1">
        <w:rPr>
          <w:b/>
        </w:rPr>
        <w:t>Thông tư số 40/2021/TT-BTC ngày 01</w:t>
      </w:r>
      <w:r>
        <w:rPr>
          <w:b/>
          <w:lang w:val="en-US"/>
        </w:rPr>
        <w:t xml:space="preserve"> tháng </w:t>
      </w:r>
      <w:r w:rsidR="009F08D1">
        <w:rPr>
          <w:b/>
        </w:rPr>
        <w:t>6</w:t>
      </w:r>
      <w:r>
        <w:rPr>
          <w:b/>
          <w:lang w:val="en-US"/>
        </w:rPr>
        <w:t xml:space="preserve"> năm </w:t>
      </w:r>
      <w:r w:rsidR="009F08D1">
        <w:rPr>
          <w:b/>
        </w:rPr>
        <w:t xml:space="preserve">2021 của Bộ Tài chính hướng dẫn thuế </w:t>
      </w:r>
      <w:r w:rsidR="009F08D1">
        <w:rPr>
          <w:b/>
          <w:lang w:val="en-US"/>
        </w:rPr>
        <w:t>giá trị gia tăng</w:t>
      </w:r>
      <w:r w:rsidR="009F08D1">
        <w:rPr>
          <w:b/>
        </w:rPr>
        <w:t xml:space="preserve">, thuế </w:t>
      </w:r>
      <w:r w:rsidR="009F08D1">
        <w:rPr>
          <w:b/>
          <w:lang w:val="en-US"/>
        </w:rPr>
        <w:t>thu nhập cá nhân</w:t>
      </w:r>
      <w:r w:rsidR="009F08D1">
        <w:rPr>
          <w:b/>
        </w:rPr>
        <w:t xml:space="preserve"> và quản lý thuế đối với hộ</w:t>
      </w:r>
      <w:r w:rsidR="00262440">
        <w:rPr>
          <w:b/>
        </w:rPr>
        <w:t xml:space="preserve"> kinh doanh, cá nhân kinh doanh</w:t>
      </w:r>
    </w:p>
    <w:p w:rsidR="008D5FA2" w:rsidRDefault="00FF237E">
      <w:pPr>
        <w:tabs>
          <w:tab w:val="left" w:pos="4074"/>
        </w:tabs>
        <w:spacing w:before="0" w:line="240" w:lineRule="auto"/>
        <w:jc w:val="center"/>
        <w:rPr>
          <w:rFonts w:cs="Times New Roman"/>
          <w:b/>
          <w:sz w:val="27"/>
          <w:szCs w:val="27"/>
          <w:lang w:val="en-US"/>
        </w:rPr>
      </w:pPr>
      <w:r>
        <w:rPr>
          <w:b/>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2148205</wp:posOffset>
                </wp:positionH>
                <wp:positionV relativeFrom="paragraph">
                  <wp:posOffset>105740</wp:posOffset>
                </wp:positionV>
                <wp:extent cx="1495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44DA8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9.15pt,8.35pt" to="286.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" strokecolor="black [3200]" strokeweight=".5pt">
                <v:stroke joinstyle="miter"/>
              </v:line>
            </w:pict>
          </mc:Fallback>
        </mc:AlternateContent>
      </w:r>
    </w:p>
    <w:p w:rsidR="008D5FA2" w:rsidRDefault="009F08D1" w:rsidP="00FF237E">
      <w:pPr>
        <w:spacing w:after="120" w:line="252" w:lineRule="auto"/>
        <w:ind w:firstLine="720"/>
      </w:pPr>
      <w:r>
        <w:rPr>
          <w:i/>
          <w:iCs/>
        </w:rPr>
        <w:t xml:space="preserve">Căn cứ </w:t>
      </w:r>
      <w:bookmarkStart w:id="2" w:name="tvpllink_khhhnejlqt"/>
      <w:r>
        <w:rPr>
          <w:i/>
          <w:iCs/>
        </w:rPr>
        <w:t>Hiến pháp nước Cộng hòa xã hội chủ nghĩa Việt Nam</w:t>
      </w:r>
      <w:bookmarkEnd w:id="2"/>
      <w:r>
        <w:rPr>
          <w:i/>
          <w:iCs/>
        </w:rPr>
        <w:t>;</w:t>
      </w:r>
    </w:p>
    <w:p w:rsidR="008D5FA2" w:rsidRDefault="009F08D1" w:rsidP="00FF237E">
      <w:pPr>
        <w:spacing w:after="120" w:line="252" w:lineRule="auto"/>
        <w:ind w:firstLine="720"/>
        <w:rPr>
          <w:rFonts w:cs="Times New Roman"/>
          <w:i/>
          <w:lang w:val="en-US"/>
        </w:rPr>
      </w:pPr>
      <w:r>
        <w:rPr>
          <w:rFonts w:cs="Times New Roman"/>
          <w:i/>
          <w:lang w:val="en-US"/>
        </w:rPr>
        <w:t>Căn cứ Luật Quản lý thuế ngày 13 tháng 6 năm 2019;</w:t>
      </w:r>
    </w:p>
    <w:p w:rsidR="008D5FA2" w:rsidRDefault="009F08D1" w:rsidP="00FF237E">
      <w:pPr>
        <w:spacing w:after="120" w:line="252" w:lineRule="auto"/>
        <w:ind w:firstLine="720"/>
        <w:rPr>
          <w:rFonts w:cs="Times New Roman"/>
          <w:i/>
          <w:lang w:val="en-US"/>
        </w:rPr>
      </w:pPr>
      <w:r>
        <w:rPr>
          <w:rFonts w:cs="Times New Roman"/>
          <w:i/>
          <w:lang w:val="en-US"/>
        </w:rPr>
        <w:t>Căn cứ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rsidR="008D5FA2" w:rsidRDefault="006356B9" w:rsidP="00FF237E">
      <w:pPr>
        <w:spacing w:after="120" w:line="252" w:lineRule="auto"/>
        <w:ind w:firstLine="720"/>
        <w:rPr>
          <w:rFonts w:cs="Times New Roman"/>
          <w:i/>
          <w:lang w:val="en-US"/>
        </w:rPr>
      </w:pPr>
      <w:r>
        <w:rPr>
          <w:rFonts w:cs="Times New Roman"/>
          <w:i/>
          <w:lang w:val="en-US"/>
        </w:rPr>
        <w:t xml:space="preserve">Căn cứ </w:t>
      </w:r>
      <w:r w:rsidR="009F08D1">
        <w:rPr>
          <w:rFonts w:cs="Times New Roman"/>
          <w:i/>
          <w:lang w:val="en-US"/>
        </w:rPr>
        <w:t xml:space="preserve">Nghị định số 126/2020/NĐ-CP ngày 19 tháng 10 năm 2020 của Chính phủ quy định chi tiết một số điều của Luật Quản lý thuế; </w:t>
      </w:r>
    </w:p>
    <w:p w:rsidR="002B094F" w:rsidRDefault="002B094F" w:rsidP="00FF237E">
      <w:pPr>
        <w:spacing w:after="120" w:line="252" w:lineRule="auto"/>
        <w:ind w:firstLine="720"/>
        <w:rPr>
          <w:rFonts w:cs="Times New Roman"/>
          <w:i/>
          <w:lang w:val="en-US"/>
        </w:rPr>
      </w:pPr>
      <w:r>
        <w:rPr>
          <w:rFonts w:cs="Times New Roman"/>
          <w:i/>
          <w:lang w:val="en-US"/>
        </w:rPr>
        <w:t>Căn cứ Nghị định số 29/2025/NĐ-CP ngày 24 tháng 02 năm 2025 của Chính phủ quy định chức năng, nhiệm vụ, quyền hạn và cơ cấu tổ chức của Bộ Tài chính;</w:t>
      </w:r>
    </w:p>
    <w:p w:rsidR="008D5FA2" w:rsidRDefault="006356B9" w:rsidP="00FF237E">
      <w:pPr>
        <w:spacing w:after="120" w:line="252" w:lineRule="auto"/>
        <w:ind w:firstLine="720"/>
        <w:rPr>
          <w:rFonts w:cs="Times New Roman"/>
          <w:i/>
          <w:lang w:val="en-US"/>
        </w:rPr>
      </w:pPr>
      <w:r>
        <w:rPr>
          <w:rFonts w:cs="Times New Roman"/>
          <w:i/>
          <w:lang w:val="en-US"/>
        </w:rPr>
        <w:t xml:space="preserve">Căn cứ </w:t>
      </w:r>
      <w:r w:rsidR="009F08D1">
        <w:rPr>
          <w:rFonts w:cs="Times New Roman"/>
          <w:i/>
          <w:lang w:val="en-US"/>
        </w:rPr>
        <w:t>Thông tư số</w:t>
      </w:r>
      <w:r w:rsidR="00EC74DD">
        <w:rPr>
          <w:rFonts w:cs="Times New Roman"/>
          <w:i/>
          <w:lang w:val="en-US"/>
        </w:rPr>
        <w:t xml:space="preserve"> 80/2021/TT-BTC ngày 29 tháng 9 năm </w:t>
      </w:r>
      <w:r w:rsidR="009F08D1">
        <w:rPr>
          <w:rFonts w:cs="Times New Roman"/>
          <w:i/>
          <w:lang w:val="en-US"/>
        </w:rPr>
        <w:t>2021 của Bộ Tài chính hướng dẫn thi hành một số điều của Luật Quản lý thuế và Nghị định số 126/2020/NĐ-CP ngày 19/10/2020 của Chính phủ quy định chi tiết một số điều của Luật Quản lý thuế;</w:t>
      </w:r>
    </w:p>
    <w:p w:rsidR="008D5FA2" w:rsidRDefault="006356B9" w:rsidP="00FF237E">
      <w:pPr>
        <w:spacing w:after="120" w:line="252" w:lineRule="auto"/>
        <w:ind w:firstLine="720"/>
        <w:rPr>
          <w:rFonts w:cs="Times New Roman"/>
          <w:i/>
          <w:lang w:val="en-US"/>
        </w:rPr>
      </w:pPr>
      <w:r>
        <w:rPr>
          <w:rFonts w:cs="Times New Roman"/>
          <w:i/>
          <w:lang w:val="en-US"/>
        </w:rPr>
        <w:t xml:space="preserve">Căn cứ </w:t>
      </w:r>
      <w:r w:rsidR="009F08D1">
        <w:rPr>
          <w:rFonts w:cs="Times New Roman"/>
          <w:i/>
          <w:lang w:val="en-US"/>
        </w:rPr>
        <w:t>Thông tư số 40/2021/TT-BTC ngày 01</w:t>
      </w:r>
      <w:r w:rsidR="00EC74DD">
        <w:rPr>
          <w:rFonts w:cs="Times New Roman"/>
          <w:i/>
          <w:lang w:val="en-US"/>
        </w:rPr>
        <w:t xml:space="preserve"> tháng </w:t>
      </w:r>
      <w:r w:rsidR="009F08D1">
        <w:rPr>
          <w:rFonts w:cs="Times New Roman"/>
          <w:i/>
          <w:lang w:val="en-US"/>
        </w:rPr>
        <w:t>6</w:t>
      </w:r>
      <w:r w:rsidR="00EC74DD">
        <w:rPr>
          <w:rFonts w:cs="Times New Roman"/>
          <w:i/>
          <w:lang w:val="en-US"/>
        </w:rPr>
        <w:t xml:space="preserve"> năm </w:t>
      </w:r>
      <w:r w:rsidR="009F08D1">
        <w:rPr>
          <w:rFonts w:cs="Times New Roman"/>
          <w:i/>
          <w:lang w:val="en-US"/>
        </w:rPr>
        <w:t>2021 của Bộ Tài chính hướng dẫn thuế giá trị gia tăng, thuế thu nhập cá nhân và quản lý thuế đối với hộ kinh doanh, cá nhân kinh doanh;</w:t>
      </w:r>
    </w:p>
    <w:p w:rsidR="008D5FA2" w:rsidRDefault="009F08D1" w:rsidP="00FF237E">
      <w:pPr>
        <w:spacing w:after="120" w:line="252" w:lineRule="auto"/>
        <w:ind w:firstLine="720"/>
        <w:rPr>
          <w:rFonts w:cs="Times New Roman"/>
          <w:i/>
          <w:lang w:val="en-US"/>
        </w:rPr>
      </w:pPr>
      <w:r>
        <w:rPr>
          <w:rFonts w:cs="Times New Roman"/>
          <w:i/>
          <w:lang w:val="en-US"/>
        </w:rPr>
        <w:t>Theo đề nghị của Cục trưởng Cục Thuế;</w:t>
      </w:r>
    </w:p>
    <w:p w:rsidR="001B4063" w:rsidRDefault="009F08D1" w:rsidP="00FF237E">
      <w:pPr>
        <w:spacing w:after="120" w:line="252" w:lineRule="auto"/>
        <w:ind w:firstLine="720"/>
        <w:rPr>
          <w:rFonts w:cs="Times New Roman"/>
          <w:i/>
          <w:lang w:val="en-US"/>
        </w:rPr>
      </w:pPr>
      <w:r>
        <w:rPr>
          <w:rFonts w:cs="Times New Roman"/>
          <w:i/>
          <w:lang w:val="en-US"/>
        </w:rPr>
        <w:t>Bộ trưởng Bộ Tài chính ban hành Thông tư sửa đổi, bổ sung Thông tư 80/2021/TT-BTC ngày 29</w:t>
      </w:r>
      <w:r w:rsidR="00FF2E21">
        <w:rPr>
          <w:rFonts w:cs="Times New Roman"/>
          <w:i/>
          <w:lang w:val="en-US"/>
        </w:rPr>
        <w:t xml:space="preserve"> tháng </w:t>
      </w:r>
      <w:r>
        <w:rPr>
          <w:rFonts w:cs="Times New Roman"/>
          <w:i/>
          <w:lang w:val="en-US"/>
        </w:rPr>
        <w:t>9</w:t>
      </w:r>
      <w:r w:rsidR="00FF2E21">
        <w:rPr>
          <w:rFonts w:cs="Times New Roman"/>
          <w:i/>
          <w:lang w:val="en-US"/>
        </w:rPr>
        <w:t xml:space="preserve"> năm </w:t>
      </w:r>
      <w:r>
        <w:rPr>
          <w:rFonts w:cs="Times New Roman"/>
          <w:i/>
          <w:lang w:val="en-US"/>
        </w:rPr>
        <w:t>2021 của Bộ Tài chính hướng dẫn thi hành một số điều của Luật Quản lý thuế và Nghị định số</w:t>
      </w:r>
      <w:r w:rsidR="00FF2E21">
        <w:rPr>
          <w:rFonts w:cs="Times New Roman"/>
          <w:i/>
          <w:lang w:val="en-US"/>
        </w:rPr>
        <w:t xml:space="preserve"> 126/2020/NĐ-CP ngày 19 </w:t>
      </w:r>
      <w:r w:rsidR="00FF2E21">
        <w:rPr>
          <w:rFonts w:cs="Times New Roman"/>
          <w:i/>
          <w:lang w:val="en-US"/>
        </w:rPr>
        <w:lastRenderedPageBreak/>
        <w:t xml:space="preserve">tháng </w:t>
      </w:r>
      <w:r>
        <w:rPr>
          <w:rFonts w:cs="Times New Roman"/>
          <w:i/>
          <w:lang w:val="en-US"/>
        </w:rPr>
        <w:t>10</w:t>
      </w:r>
      <w:r w:rsidR="00FF2E21">
        <w:rPr>
          <w:rFonts w:cs="Times New Roman"/>
          <w:i/>
          <w:lang w:val="en-US"/>
        </w:rPr>
        <w:t xml:space="preserve"> năm </w:t>
      </w:r>
      <w:r>
        <w:rPr>
          <w:rFonts w:cs="Times New Roman"/>
          <w:i/>
          <w:lang w:val="en-US"/>
        </w:rPr>
        <w:t>2020 của Chính phủ quy định chi tiết một số điều của Luật Quản lý thuế, Thông tư số</w:t>
      </w:r>
      <w:r w:rsidR="00FF2E21">
        <w:rPr>
          <w:rFonts w:cs="Times New Roman"/>
          <w:i/>
          <w:lang w:val="en-US"/>
        </w:rPr>
        <w:t xml:space="preserve"> 40/2021/TT-BTC ngày 01 tháng </w:t>
      </w:r>
      <w:r>
        <w:rPr>
          <w:rFonts w:cs="Times New Roman"/>
          <w:i/>
          <w:lang w:val="en-US"/>
        </w:rPr>
        <w:t>6</w:t>
      </w:r>
      <w:r w:rsidR="00FF2E21">
        <w:rPr>
          <w:rFonts w:cs="Times New Roman"/>
          <w:i/>
          <w:lang w:val="en-US"/>
        </w:rPr>
        <w:t xml:space="preserve"> năm </w:t>
      </w:r>
      <w:r>
        <w:rPr>
          <w:rFonts w:cs="Times New Roman"/>
          <w:i/>
          <w:lang w:val="en-US"/>
        </w:rPr>
        <w:t xml:space="preserve">2021 của Bộ Tài chính hướng dẫn thuế giá trị gia tăng, thuế thu nhập cá nhân và quản lý thuế đối với hộ kinh doanh, cá nhân kinh doanh, </w:t>
      </w:r>
    </w:p>
    <w:p w:rsidR="008D5FA2" w:rsidRDefault="009F08D1" w:rsidP="00FF237E">
      <w:pPr>
        <w:spacing w:after="120" w:line="252" w:lineRule="auto"/>
        <w:ind w:firstLine="720"/>
        <w:rPr>
          <w:rFonts w:eastAsia="SimSun"/>
          <w:b/>
          <w:shd w:val="clear" w:color="auto" w:fill="FFFFFF"/>
          <w:lang w:val="en-US"/>
        </w:rPr>
      </w:pPr>
      <w:r>
        <w:rPr>
          <w:rFonts w:eastAsia="SimSun"/>
          <w:b/>
          <w:shd w:val="clear" w:color="auto" w:fill="FFFFFF"/>
          <w:lang w:val="nl-NL"/>
        </w:rPr>
        <w:t xml:space="preserve">Điều 1. Sửa đổi, bổ sung </w:t>
      </w:r>
      <w:r w:rsidR="00AD647A" w:rsidRPr="00AD647A">
        <w:rPr>
          <w:rFonts w:eastAsia="SimSun" w:cs="Calibri Light"/>
          <w:b/>
          <w:spacing w:val="-2"/>
          <w:shd w:val="clear" w:color="auto" w:fill="FFFFFF"/>
          <w:lang w:val="nl-NL"/>
        </w:rPr>
        <w:t>điểm a khoản 2 Điều 27</w:t>
      </w:r>
      <w:r w:rsidR="00AD647A">
        <w:rPr>
          <w:rFonts w:eastAsia="SimSun" w:cs="Calibri Light"/>
          <w:spacing w:val="-2"/>
          <w:shd w:val="clear" w:color="auto" w:fill="FFFFFF"/>
          <w:lang w:val="nl-NL"/>
        </w:rPr>
        <w:t xml:space="preserve"> </w:t>
      </w:r>
      <w:r>
        <w:rPr>
          <w:rFonts w:eastAsia="SimSun"/>
          <w:b/>
          <w:shd w:val="clear" w:color="auto" w:fill="FFFFFF"/>
          <w:lang w:val="nl-NL"/>
        </w:rPr>
        <w:t>Thông tư số</w:t>
      </w:r>
      <w:r w:rsidR="0075666D">
        <w:rPr>
          <w:rFonts w:eastAsia="SimSun"/>
          <w:b/>
          <w:shd w:val="clear" w:color="auto" w:fill="FFFFFF"/>
          <w:lang w:val="nl-NL"/>
        </w:rPr>
        <w:t xml:space="preserve"> 80/2021/TT-BTC ngày 29 tháng </w:t>
      </w:r>
      <w:r>
        <w:rPr>
          <w:rFonts w:eastAsia="SimSun"/>
          <w:b/>
          <w:shd w:val="clear" w:color="auto" w:fill="FFFFFF"/>
          <w:lang w:val="nl-NL"/>
        </w:rPr>
        <w:t>9</w:t>
      </w:r>
      <w:r w:rsidR="0075666D">
        <w:rPr>
          <w:rFonts w:eastAsia="SimSun"/>
          <w:b/>
          <w:shd w:val="clear" w:color="auto" w:fill="FFFFFF"/>
          <w:lang w:val="nl-NL"/>
        </w:rPr>
        <w:t xml:space="preserve"> năm </w:t>
      </w:r>
      <w:r>
        <w:rPr>
          <w:rFonts w:eastAsia="SimSun"/>
          <w:b/>
          <w:shd w:val="clear" w:color="auto" w:fill="FFFFFF"/>
          <w:lang w:val="nl-NL"/>
        </w:rPr>
        <w:t>2021 của Bộ Tài chính</w:t>
      </w:r>
      <w:r w:rsidR="00857E92">
        <w:rPr>
          <w:rFonts w:eastAsia="SimSun"/>
          <w:b/>
          <w:shd w:val="clear" w:color="auto" w:fill="FFFFFF"/>
          <w:lang w:val="nl-NL"/>
        </w:rPr>
        <w:t xml:space="preserve"> như sau:</w:t>
      </w:r>
    </w:p>
    <w:p w:rsidR="008D5FA2" w:rsidRDefault="009F08D1" w:rsidP="00FF237E">
      <w:pPr>
        <w:tabs>
          <w:tab w:val="left" w:pos="4074"/>
        </w:tabs>
        <w:spacing w:after="120" w:line="252" w:lineRule="auto"/>
        <w:ind w:firstLine="709"/>
        <w:rPr>
          <w:rFonts w:cs="Times New Roman"/>
        </w:rPr>
      </w:pPr>
      <w:r>
        <w:rPr>
          <w:rFonts w:cs="Times New Roman"/>
        </w:rPr>
        <w:t>“2. Trách nhiệm tiếp nhận và giải quyết hồ sơ hoàn thuế theo quy định của pháp luật về thuế</w:t>
      </w:r>
    </w:p>
    <w:p w:rsidR="008D5FA2" w:rsidRDefault="009F08D1" w:rsidP="00FF237E">
      <w:pPr>
        <w:tabs>
          <w:tab w:val="left" w:pos="4074"/>
        </w:tabs>
        <w:spacing w:after="120" w:line="252" w:lineRule="auto"/>
        <w:ind w:firstLine="709"/>
        <w:rPr>
          <w:rFonts w:cs="Times New Roman"/>
        </w:rPr>
      </w:pPr>
      <w:r>
        <w:rPr>
          <w:rFonts w:cs="Times New Roman"/>
        </w:rPr>
        <w:t xml:space="preserve">a) </w:t>
      </w:r>
      <w:r>
        <w:rPr>
          <w:rFonts w:cs="Times New Roman"/>
          <w:strike/>
        </w:rPr>
        <w:t>Cục Thuế</w:t>
      </w:r>
      <w:r w:rsidR="002B094F">
        <w:rPr>
          <w:rStyle w:val="FootnoteReference"/>
          <w:rFonts w:cs="Times New Roman"/>
          <w:strike/>
        </w:rPr>
        <w:footnoteReference w:id="1"/>
      </w:r>
      <w:r>
        <w:rPr>
          <w:rFonts w:cs="Times New Roman"/>
        </w:rPr>
        <w:t xml:space="preserve"> </w:t>
      </w:r>
      <w:r w:rsidRPr="002B094F">
        <w:rPr>
          <w:rFonts w:cs="Calibri Light"/>
          <w:b/>
          <w:i/>
        </w:rPr>
        <w:t>Cơ quan thuế quản lý trực tiếp người nộp thuế</w:t>
      </w:r>
      <w:r w:rsidR="002B094F">
        <w:rPr>
          <w:rStyle w:val="FootnoteReference"/>
          <w:rFonts w:cs="Calibri Light"/>
          <w:b/>
          <w:i/>
        </w:rPr>
        <w:footnoteReference w:id="2"/>
      </w:r>
      <w:r>
        <w:rPr>
          <w:rFonts w:cs="Calibri Light"/>
        </w:rPr>
        <w:t xml:space="preserve"> </w:t>
      </w:r>
      <w:r>
        <w:rPr>
          <w:rFonts w:cs="Times New Roman"/>
        </w:rPr>
        <w:t xml:space="preserve">có trách nhiệm tiếp nhận và giải quyết hồ sơ hoàn thuế nêu tại </w:t>
      </w:r>
      <w:r w:rsidR="00CA066F">
        <w:rPr>
          <w:rFonts w:cs="Times New Roman"/>
          <w:lang w:val="en-US"/>
        </w:rPr>
        <w:t>k</w:t>
      </w:r>
      <w:r>
        <w:rPr>
          <w:rFonts w:cs="Times New Roman"/>
          <w:lang w:val="en-US"/>
        </w:rPr>
        <w:t>hoản</w:t>
      </w:r>
      <w:r>
        <w:rPr>
          <w:rFonts w:cs="Times New Roman"/>
        </w:rPr>
        <w:t xml:space="preserve"> 1 Điều này (trừ trường hợp quy định tại điểm b, c </w:t>
      </w:r>
      <w:r w:rsidR="00CA066F">
        <w:rPr>
          <w:rFonts w:cs="Times New Roman"/>
          <w:lang w:val="en-US"/>
        </w:rPr>
        <w:t>k</w:t>
      </w:r>
      <w:r>
        <w:rPr>
          <w:rFonts w:cs="Times New Roman"/>
          <w:lang w:val="en-US"/>
        </w:rPr>
        <w:t>hoản</w:t>
      </w:r>
      <w:r>
        <w:rPr>
          <w:rFonts w:cs="Times New Roman"/>
        </w:rPr>
        <w:t xml:space="preserve"> này). </w:t>
      </w:r>
      <w:r>
        <w:rPr>
          <w:rFonts w:cs="Times New Roman"/>
          <w:strike/>
        </w:rPr>
        <w:t>đối với người nộp thuế do Cục Thuế quản lý trực tiếp và người nộp thuế do Chi cục Thuế quản lý trực tiếp.</w:t>
      </w:r>
      <w:r>
        <w:rPr>
          <w:rFonts w:cs="Times New Roman"/>
        </w:rPr>
        <w:t xml:space="preserve"> </w:t>
      </w:r>
    </w:p>
    <w:p w:rsidR="008D5FA2" w:rsidRDefault="009F08D1" w:rsidP="00D30382">
      <w:pPr>
        <w:tabs>
          <w:tab w:val="left" w:pos="4074"/>
        </w:tabs>
        <w:spacing w:after="120" w:line="252" w:lineRule="auto"/>
        <w:ind w:firstLine="709"/>
        <w:rPr>
          <w:rFonts w:cs="Times New Roman"/>
          <w:strike/>
        </w:rPr>
      </w:pPr>
      <w:r>
        <w:rPr>
          <w:rFonts w:cs="Times New Roman"/>
          <w:strike/>
        </w:rPr>
        <w:t>Riêng các Cục Thuế thành phố Hà Nội, thành phố Hồ Chí Minh, Bình Dương, Đồng Nai, Cục trưởng Cục Thuế có thể phân công cho Chi cục Thuế tiếp nhận hồ sơ hoàn thuế giá trị gia tăng của người nộp thuế do Chi cục Thuế quản lý trực tiếp và thực hiện giải quyết hồ sơ hoàn thuế của người nộp thuế, bao gồm: phân loại hồ sơ hoàn thuế thuộc diện hoàn thuế trước hoặc thuộc diện kiểm tra trước hoàn thuế; xác định số thuế được hoàn; xác định số tiền thuế nợ, tiền phạt, tiền chậm nộp phải bù trừ với số thuế được hoàn; dự thảo Quyết định hoàn thuế hoặc Quyết định hoàn thuế kiêm bù trừ thu ngân sách nhà nước hoặc Thông báo về việc không được hoàn thuế (nếu có); sau đó Chi cục Thuế chuyển toàn bộ hồ sơ cho Cục Thuế để tiếp tục thực hiện hoàn thuế theo quy định tại Thông tư này.</w:t>
      </w:r>
      <w:r>
        <w:rPr>
          <w:rFonts w:cs="Times New Roman"/>
          <w:color w:val="000000"/>
        </w:rPr>
        <w:t>”</w:t>
      </w:r>
    </w:p>
    <w:p w:rsidR="008D5FA2" w:rsidRDefault="009F08D1" w:rsidP="00FF237E">
      <w:pPr>
        <w:tabs>
          <w:tab w:val="left" w:pos="709"/>
        </w:tabs>
        <w:spacing w:after="120" w:line="252" w:lineRule="auto"/>
        <w:ind w:firstLine="709"/>
        <w:rPr>
          <w:rFonts w:eastAsia="SimSun"/>
          <w:b/>
          <w:bCs/>
          <w:shd w:val="clear" w:color="auto" w:fill="FFFFFF"/>
          <w:lang w:val="nl-NL"/>
        </w:rPr>
      </w:pPr>
      <w:r>
        <w:rPr>
          <w:rFonts w:eastAsia="SimSun"/>
          <w:b/>
          <w:bCs/>
          <w:shd w:val="clear" w:color="auto" w:fill="FFFFFF"/>
          <w:lang w:val="nl-NL"/>
        </w:rPr>
        <w:t xml:space="preserve">Điều 2. Bãi bỏ </w:t>
      </w:r>
      <w:r w:rsidR="00BF1FCA">
        <w:rPr>
          <w:rFonts w:eastAsia="SimSun" w:cs="Calibri Light"/>
          <w:b/>
          <w:shd w:val="clear" w:color="auto" w:fill="FFFFFF"/>
          <w:lang w:val="nl-NL"/>
        </w:rPr>
        <w:t>một số khoản, Điều của</w:t>
      </w:r>
      <w:r w:rsidR="00AD647A">
        <w:rPr>
          <w:rFonts w:eastAsia="SimSun" w:cs="Calibri Light"/>
          <w:b/>
          <w:shd w:val="clear" w:color="auto" w:fill="FFFFFF"/>
          <w:lang w:val="nl-NL"/>
        </w:rPr>
        <w:t xml:space="preserve"> </w:t>
      </w:r>
      <w:r w:rsidRPr="00AD647A">
        <w:rPr>
          <w:rFonts w:eastAsia="SimSun"/>
          <w:b/>
          <w:bCs/>
          <w:shd w:val="clear" w:color="auto" w:fill="FFFFFF"/>
          <w:lang w:val="nl-NL"/>
        </w:rPr>
        <w:t>Thông</w:t>
      </w:r>
      <w:r>
        <w:rPr>
          <w:rFonts w:eastAsia="SimSun"/>
          <w:b/>
          <w:bCs/>
          <w:shd w:val="clear" w:color="auto" w:fill="FFFFFF"/>
          <w:lang w:val="nl-NL"/>
        </w:rPr>
        <w:t xml:space="preserve"> tư số 80/2021/TT-BTC</w:t>
      </w:r>
      <w:r w:rsidR="00FF2E21">
        <w:rPr>
          <w:rFonts w:eastAsia="SimSun"/>
          <w:b/>
          <w:bCs/>
          <w:shd w:val="clear" w:color="auto" w:fill="FFFFFF"/>
          <w:lang w:val="nl-NL"/>
        </w:rPr>
        <w:t xml:space="preserve"> </w:t>
      </w:r>
      <w:r w:rsidR="00FF2E21">
        <w:rPr>
          <w:rFonts w:eastAsia="SimSun"/>
          <w:b/>
          <w:shd w:val="clear" w:color="auto" w:fill="FFFFFF"/>
          <w:lang w:val="nl-NL"/>
        </w:rPr>
        <w:t>ngày 29 tháng 9 năm 2021 của Bộ Tài chính</w:t>
      </w:r>
    </w:p>
    <w:p w:rsidR="008D5FA2" w:rsidRDefault="00201C1B" w:rsidP="00FF237E">
      <w:pPr>
        <w:tabs>
          <w:tab w:val="left" w:pos="709"/>
        </w:tabs>
        <w:spacing w:after="120" w:line="252" w:lineRule="auto"/>
        <w:ind w:firstLine="709"/>
        <w:rPr>
          <w:rFonts w:cs="Times New Roman"/>
        </w:rPr>
      </w:pPr>
      <w:r>
        <w:rPr>
          <w:rFonts w:eastAsia="SimSun"/>
          <w:shd w:val="clear" w:color="auto" w:fill="FFFFFF"/>
          <w:lang w:val="nl-NL"/>
        </w:rPr>
        <w:t>1</w:t>
      </w:r>
      <w:r w:rsidR="009F08D1">
        <w:rPr>
          <w:rFonts w:eastAsia="SimSun"/>
          <w:shd w:val="clear" w:color="auto" w:fill="FFFFFF"/>
          <w:lang w:val="nl-NL"/>
        </w:rPr>
        <w:t xml:space="preserve">. </w:t>
      </w:r>
      <w:bookmarkStart w:id="3" w:name="dieu_89"/>
      <w:r w:rsidR="00BF1FCA">
        <w:rPr>
          <w:rFonts w:eastAsia="SimSun"/>
          <w:shd w:val="clear" w:color="auto" w:fill="FFFFFF"/>
          <w:lang w:val="nl-NL"/>
        </w:rPr>
        <w:t>K</w:t>
      </w:r>
      <w:r w:rsidR="009F08D1">
        <w:rPr>
          <w:rFonts w:eastAsia="SimSun" w:cs="Calibri Light"/>
          <w:shd w:val="clear" w:color="auto" w:fill="FFFFFF"/>
          <w:lang w:val="nl-NL"/>
        </w:rPr>
        <w:t>hoản 3 Điều 36.</w:t>
      </w:r>
    </w:p>
    <w:p w:rsidR="008D5FA2" w:rsidRDefault="009F08D1" w:rsidP="00FF237E">
      <w:pPr>
        <w:tabs>
          <w:tab w:val="left" w:pos="4074"/>
        </w:tabs>
        <w:spacing w:after="120" w:line="252" w:lineRule="auto"/>
        <w:ind w:firstLine="709"/>
        <w:rPr>
          <w:rFonts w:cs="Times New Roman"/>
          <w:strike/>
          <w:lang w:val="nl-NL"/>
        </w:rPr>
      </w:pPr>
      <w:r>
        <w:rPr>
          <w:rFonts w:cs="Times New Roman"/>
          <w:lang w:val="nl-NL"/>
        </w:rPr>
        <w:t>“</w:t>
      </w:r>
      <w:r>
        <w:rPr>
          <w:rFonts w:cs="Times New Roman"/>
          <w:strike/>
          <w:lang w:val="nl-NL"/>
        </w:rPr>
        <w:t xml:space="preserve">3. Chi cục Thuế được phân công tiếp nhận và giải quyết theo quy định tại điểm a Khoản 2 Điều 27 Thông tư này chuyển toàn bộ hồ sơ giải quyết hoàn thuế theo quy định tại Khoản 1, Khoản 2 Điều này cho Cục Thuế để xem xét ban hành Quyết định hoàn thuế. Cục Thuế ban hành Quyết định hoàn thuế theo mẫu số 01/QĐHT trong trường hợp người nộp thuế không còn tiền thuế nợ hoặc Quyết định hoàn kiêm bù trừ Khoản thu ngân sách nhà nước theo mẫu số 02/QĐHT, Phụ lục số tiền thuế, tiền chậm nộp, tiền phạt phải nộp được bù trừ theo mẫu số 01/PL-BT (nếu có) trong trường hợp người nộp thuế còn nợ tiền thuế nợ hoặc người nộp thuế đề nghị bù trừ số thuế được hoàn trả với Khoản nợ, Khoản thu phát sinh của người nộp thuế khác, hoặc Quyết định thanh toán cho ngân hàng là đại lý hoàn thuế giá trị gia tăng theo quy định tại Điều 21 Thông tư số 72/2014/TT-BTC ngày </w:t>
      </w:r>
      <w:r>
        <w:rPr>
          <w:rFonts w:cs="Times New Roman"/>
          <w:strike/>
          <w:lang w:val="nl-NL"/>
        </w:rPr>
        <w:lastRenderedPageBreak/>
        <w:t xml:space="preserve">30/5/2014 của Bộ Tài chính được sửa đổi, bổ sung tại Khoản 15 Điều 1 Thông tư số 92/2019/TT-BTC ngày 31/12/2019 của Bộ Tài chính đối với hoàn thuế cho ngân hàng là đại lý hoàn thuế giá trị gia tăng, Thông báo về việc không được hoàn thuế mẫu số 04/TB-HT ban hành kèm theo </w:t>
      </w:r>
      <w:r>
        <w:rPr>
          <w:rFonts w:cs="Calibri Light"/>
          <w:strike/>
        </w:rPr>
        <w:t xml:space="preserve">phụ lục I </w:t>
      </w:r>
      <w:r>
        <w:rPr>
          <w:rFonts w:cs="Times New Roman"/>
          <w:strike/>
          <w:lang w:val="nl-NL"/>
        </w:rPr>
        <w:t>Thông tư này. Cục Thuế chịu trách nhiệm về quyết định hoàn thuế theo quy định của pháp luật.”</w:t>
      </w:r>
    </w:p>
    <w:p w:rsidR="008D5FA2" w:rsidRDefault="00857E92" w:rsidP="00FF237E">
      <w:pPr>
        <w:tabs>
          <w:tab w:val="left" w:pos="709"/>
        </w:tabs>
        <w:spacing w:after="120" w:line="252" w:lineRule="auto"/>
        <w:ind w:firstLine="709"/>
        <w:rPr>
          <w:rFonts w:cs="Times New Roman"/>
        </w:rPr>
      </w:pPr>
      <w:r>
        <w:rPr>
          <w:rFonts w:eastAsia="SimSun" w:cs="Calibri Light"/>
          <w:shd w:val="clear" w:color="auto" w:fill="FFFFFF"/>
          <w:lang w:val="nl-NL"/>
        </w:rPr>
        <w:t>2</w:t>
      </w:r>
      <w:r w:rsidR="009F08D1">
        <w:rPr>
          <w:rFonts w:eastAsia="SimSun" w:cs="Calibri Light"/>
          <w:shd w:val="clear" w:color="auto" w:fill="FFFFFF"/>
          <w:lang w:val="nl-NL"/>
        </w:rPr>
        <w:t xml:space="preserve">. </w:t>
      </w:r>
      <w:r w:rsidR="00BF1FCA">
        <w:rPr>
          <w:rFonts w:eastAsia="SimSun" w:cs="Calibri Light"/>
          <w:shd w:val="clear" w:color="auto" w:fill="FFFFFF"/>
          <w:lang w:val="nl-NL"/>
        </w:rPr>
        <w:t>K</w:t>
      </w:r>
      <w:r w:rsidR="009F08D1">
        <w:rPr>
          <w:rFonts w:eastAsia="SimSun" w:cs="Calibri Light"/>
          <w:shd w:val="clear" w:color="auto" w:fill="FFFFFF"/>
          <w:lang w:val="nl-NL"/>
        </w:rPr>
        <w:t>hoản 2 Điều 38.</w:t>
      </w:r>
    </w:p>
    <w:p w:rsidR="008D5FA2" w:rsidRDefault="009F08D1" w:rsidP="00FF237E">
      <w:pPr>
        <w:tabs>
          <w:tab w:val="left" w:pos="4074"/>
        </w:tabs>
        <w:spacing w:after="120" w:line="252" w:lineRule="auto"/>
        <w:ind w:firstLine="709"/>
        <w:rPr>
          <w:rFonts w:cs="Times New Roman"/>
          <w:strike/>
          <w:lang w:val="nl-NL"/>
        </w:rPr>
      </w:pPr>
      <w:r>
        <w:rPr>
          <w:rFonts w:cs="Times New Roman"/>
          <w:strike/>
          <w:lang w:val="nl-NL"/>
        </w:rPr>
        <w:t>“2. Trường hợp Cục Thuế ban hành Quyết định hoàn thuế hoặc Quyết định hoàn thuế kiêm bù trừ thu ngân sách nhà nước hoặc Quyết định thanh toán cho ngân hàng là đại lý hoàn thuế giá trị gia tăng đối với người nộp thuế do Chi cục Thuế quản lý thì Cục Thuế gửi Quyết định cho Chi cục Thuế để theo dõi nghĩa vụ của người nộp thuế.”</w:t>
      </w:r>
    </w:p>
    <w:p w:rsidR="00693C22" w:rsidRPr="00693C22" w:rsidRDefault="009F08D1" w:rsidP="00FF237E">
      <w:pPr>
        <w:tabs>
          <w:tab w:val="left" w:pos="709"/>
        </w:tabs>
        <w:spacing w:after="120" w:line="252" w:lineRule="auto"/>
        <w:ind w:firstLine="709"/>
        <w:rPr>
          <w:rFonts w:eastAsia="SimSun"/>
          <w:b/>
          <w:shd w:val="clear" w:color="auto" w:fill="FFFFFF"/>
          <w:lang w:val="nl-NL"/>
        </w:rPr>
      </w:pPr>
      <w:r>
        <w:rPr>
          <w:rFonts w:eastAsia="SimSun"/>
          <w:b/>
          <w:shd w:val="clear" w:color="auto" w:fill="FFFFFF"/>
          <w:lang w:val="nl-NL"/>
        </w:rPr>
        <w:t xml:space="preserve">Điều 3. </w:t>
      </w:r>
      <w:r w:rsidR="00693C22" w:rsidRPr="00693C22">
        <w:rPr>
          <w:rFonts w:eastAsia="SimSun" w:cs="Calibri Light"/>
          <w:shd w:val="clear" w:color="auto" w:fill="FFFFFF"/>
          <w:lang w:val="nl-NL"/>
        </w:rPr>
        <w:t>Sửa đổi, bổ sung các mẫu biểu ban hành kèm theo Thông tư số</w:t>
      </w:r>
      <w:r w:rsidR="001A68F9">
        <w:rPr>
          <w:rFonts w:eastAsia="SimSun" w:cs="Calibri Light"/>
          <w:shd w:val="clear" w:color="auto" w:fill="FFFFFF"/>
          <w:lang w:val="nl-NL"/>
        </w:rPr>
        <w:t xml:space="preserve"> 80/2021/TT-BTC ngày 29 tháng </w:t>
      </w:r>
      <w:r w:rsidR="00693C22" w:rsidRPr="00693C22">
        <w:rPr>
          <w:rFonts w:eastAsia="SimSun" w:cs="Calibri Light"/>
          <w:shd w:val="clear" w:color="auto" w:fill="FFFFFF"/>
          <w:lang w:val="nl-NL"/>
        </w:rPr>
        <w:t>9</w:t>
      </w:r>
      <w:r w:rsidR="001A68F9">
        <w:rPr>
          <w:rFonts w:eastAsia="SimSun" w:cs="Calibri Light"/>
          <w:shd w:val="clear" w:color="auto" w:fill="FFFFFF"/>
          <w:lang w:val="nl-NL"/>
        </w:rPr>
        <w:t xml:space="preserve"> năm </w:t>
      </w:r>
      <w:r w:rsidR="00693C22" w:rsidRPr="00693C22">
        <w:rPr>
          <w:rFonts w:eastAsia="SimSun" w:cs="Calibri Light"/>
          <w:shd w:val="clear" w:color="auto" w:fill="FFFFFF"/>
          <w:lang w:val="nl-NL"/>
        </w:rPr>
        <w:t>2021 của Bộ Tài chính, Thông tư số 40/2021/TT-BTC ngày 01</w:t>
      </w:r>
      <w:r w:rsidR="001A68F9">
        <w:rPr>
          <w:rFonts w:eastAsia="SimSun" w:cs="Calibri Light"/>
          <w:shd w:val="clear" w:color="auto" w:fill="FFFFFF"/>
          <w:lang w:val="nl-NL"/>
        </w:rPr>
        <w:t xml:space="preserve"> tháng </w:t>
      </w:r>
      <w:r w:rsidR="00693C22" w:rsidRPr="00693C22">
        <w:rPr>
          <w:rFonts w:eastAsia="SimSun" w:cs="Calibri Light"/>
          <w:shd w:val="clear" w:color="auto" w:fill="FFFFFF"/>
          <w:lang w:val="nl-NL"/>
        </w:rPr>
        <w:t>6</w:t>
      </w:r>
      <w:r w:rsidR="001A68F9">
        <w:rPr>
          <w:rFonts w:eastAsia="SimSun" w:cs="Calibri Light"/>
          <w:shd w:val="clear" w:color="auto" w:fill="FFFFFF"/>
          <w:lang w:val="nl-NL"/>
        </w:rPr>
        <w:t xml:space="preserve"> năm </w:t>
      </w:r>
      <w:r w:rsidR="00693C22" w:rsidRPr="00693C22">
        <w:rPr>
          <w:rFonts w:eastAsia="SimSun" w:cs="Calibri Light"/>
          <w:shd w:val="clear" w:color="auto" w:fill="FFFFFF"/>
          <w:lang w:val="nl-NL"/>
        </w:rPr>
        <w:t xml:space="preserve">2021 của Bộ Tài chính </w:t>
      </w:r>
      <w:r w:rsidR="00693C22">
        <w:t>để thực thi các phương án đơn giản hóa thủ tục hành chính, giấy tờ công dân liên quan đến quản lý dân cư</w:t>
      </w:r>
      <w:r w:rsidR="00693C22">
        <w:rPr>
          <w:rFonts w:eastAsia="SimSun" w:cs="Calibri Light"/>
          <w:shd w:val="clear" w:color="auto" w:fill="FFFFFF"/>
          <w:lang w:val="nl-NL"/>
        </w:rPr>
        <w:t>.</w:t>
      </w:r>
    </w:p>
    <w:p w:rsidR="008D5FA2" w:rsidRDefault="009F08D1" w:rsidP="00FF237E">
      <w:pPr>
        <w:tabs>
          <w:tab w:val="left" w:pos="709"/>
        </w:tabs>
        <w:spacing w:after="120" w:line="252" w:lineRule="auto"/>
        <w:ind w:firstLine="709"/>
        <w:rPr>
          <w:rFonts w:cs="Times New Roman"/>
          <w:b/>
          <w:lang w:val="nl-NL"/>
        </w:rPr>
      </w:pPr>
      <w:r>
        <w:rPr>
          <w:rFonts w:cs="Times New Roman"/>
          <w:b/>
          <w:lang w:val="nl-NL"/>
        </w:rPr>
        <w:t>Điều 4. Điều khoản thi hành</w:t>
      </w:r>
    </w:p>
    <w:p w:rsidR="008D5FA2" w:rsidRDefault="009F08D1" w:rsidP="00FF237E">
      <w:pPr>
        <w:tabs>
          <w:tab w:val="left" w:pos="4074"/>
        </w:tabs>
        <w:spacing w:after="120" w:line="252" w:lineRule="auto"/>
        <w:ind w:firstLine="709"/>
        <w:rPr>
          <w:rFonts w:cs="Times New Roman"/>
          <w:lang w:val="nl-NL"/>
        </w:rPr>
      </w:pPr>
      <w:r>
        <w:rPr>
          <w:rFonts w:cs="Times New Roman"/>
          <w:lang w:val="nl-NL"/>
        </w:rPr>
        <w:t>1. Thông tư này có hiệu lực kể từ</w:t>
      </w:r>
      <w:r w:rsidR="00D9691E">
        <w:rPr>
          <w:rFonts w:cs="Times New Roman"/>
          <w:lang w:val="nl-NL"/>
        </w:rPr>
        <w:t xml:space="preserve"> ngày    </w:t>
      </w:r>
      <w:r w:rsidR="00FF237E">
        <w:rPr>
          <w:rFonts w:cs="Times New Roman"/>
          <w:lang w:val="nl-NL"/>
        </w:rPr>
        <w:t xml:space="preserve"> </w:t>
      </w:r>
      <w:r w:rsidR="00D9691E">
        <w:rPr>
          <w:rFonts w:cs="Times New Roman"/>
          <w:lang w:val="nl-NL"/>
        </w:rPr>
        <w:t xml:space="preserve">tháng   </w:t>
      </w:r>
      <w:r w:rsidR="00FF237E">
        <w:rPr>
          <w:rFonts w:cs="Times New Roman"/>
          <w:lang w:val="nl-NL"/>
        </w:rPr>
        <w:t xml:space="preserve">  </w:t>
      </w:r>
      <w:r w:rsidR="00D9691E">
        <w:rPr>
          <w:rFonts w:cs="Times New Roman"/>
          <w:lang w:val="nl-NL"/>
        </w:rPr>
        <w:t xml:space="preserve"> năm 2025</w:t>
      </w:r>
      <w:r w:rsidR="00F31231">
        <w:rPr>
          <w:rFonts w:cs="Times New Roman"/>
          <w:lang w:val="nl-NL"/>
        </w:rPr>
        <w:t xml:space="preserve"> (ngày ký)</w:t>
      </w:r>
      <w:r>
        <w:rPr>
          <w:rFonts w:cs="Times New Roman"/>
          <w:lang w:val="nl-NL"/>
        </w:rPr>
        <w:t>.</w:t>
      </w:r>
    </w:p>
    <w:p w:rsidR="008D5FA2" w:rsidRDefault="009F08D1" w:rsidP="00FF237E">
      <w:pPr>
        <w:tabs>
          <w:tab w:val="left" w:pos="4074"/>
        </w:tabs>
        <w:spacing w:after="120" w:line="252" w:lineRule="auto"/>
        <w:ind w:firstLine="709"/>
        <w:rPr>
          <w:rFonts w:cs="Times New Roman"/>
          <w:lang w:val="nl-NL"/>
        </w:rPr>
      </w:pPr>
      <w:r>
        <w:rPr>
          <w:rFonts w:cs="Times New Roman"/>
          <w:lang w:val="nl-NL"/>
        </w:rPr>
        <w:t>2. Quy định chuyển tiếp</w:t>
      </w:r>
    </w:p>
    <w:bookmarkEnd w:id="3"/>
    <w:p w:rsidR="000B7FD2" w:rsidRPr="00CF2F69" w:rsidRDefault="000B7FD2" w:rsidP="00FF237E">
      <w:pPr>
        <w:tabs>
          <w:tab w:val="left" w:pos="4074"/>
        </w:tabs>
        <w:snapToGrid w:val="0"/>
        <w:spacing w:after="120" w:line="252" w:lineRule="auto"/>
        <w:ind w:firstLine="709"/>
        <w:rPr>
          <w:rFonts w:cs="Times New Roman"/>
          <w:spacing w:val="-2"/>
          <w:lang w:val="nl-NL"/>
        </w:rPr>
      </w:pPr>
      <w:r w:rsidRPr="00CF2F69">
        <w:rPr>
          <w:rFonts w:cs="Times New Roman"/>
          <w:spacing w:val="-2"/>
          <w:lang w:val="nl-NL"/>
        </w:rPr>
        <w:t>a) Đối với các Chi cục Thuế (nay là Đội Thuế cấp huyện) thuộc 4 Cục Thuế tỉnh/thành phố: Hà Nội (nay là Chi cục Thuế khu vực I), Hồ Chí Minh (nay là Chi cục Thuế khu vực II), Bình Dương (nay là Chi cục Thuế khu vực XVI), Đồng Nai (nay là Chi cục Thuế khu vực XV) đã tiếp nhận hồ sơ hoàn thuế giá trị gia tăng của người nộp thuế do Chi cục Thuế (nay là Đội Thuế cấp huyện) quản lý trực tiếp trướ</w:t>
      </w:r>
      <w:r w:rsidR="00B93AD2">
        <w:rPr>
          <w:rFonts w:cs="Times New Roman"/>
          <w:spacing w:val="-2"/>
          <w:lang w:val="nl-NL"/>
        </w:rPr>
        <w:t>c ngày 01/</w:t>
      </w:r>
      <w:r w:rsidRPr="00CF2F69">
        <w:rPr>
          <w:rFonts w:cs="Times New Roman"/>
          <w:spacing w:val="-2"/>
          <w:lang w:val="nl-NL"/>
        </w:rPr>
        <w:t>01</w:t>
      </w:r>
      <w:r w:rsidR="00B93AD2">
        <w:rPr>
          <w:rFonts w:cs="Times New Roman"/>
          <w:spacing w:val="-2"/>
          <w:lang w:val="nl-NL"/>
        </w:rPr>
        <w:t>/</w:t>
      </w:r>
      <w:r w:rsidRPr="00CF2F69">
        <w:rPr>
          <w:rFonts w:cs="Times New Roman"/>
          <w:spacing w:val="-2"/>
          <w:lang w:val="nl-NL"/>
        </w:rPr>
        <w:t xml:space="preserve">2025 </w:t>
      </w:r>
      <w:r w:rsidRPr="00CF2F69">
        <w:rPr>
          <w:rFonts w:cs="Calibri Light"/>
          <w:spacing w:val="-2"/>
          <w:lang w:val="nl-NL"/>
        </w:rPr>
        <w:t>nhưng đến ngày Luật số 56/2024/QH15 có hiệu lực thi hành</w:t>
      </w:r>
      <w:r w:rsidRPr="00CF2F69">
        <w:rPr>
          <w:rFonts w:cs="Times New Roman"/>
          <w:spacing w:val="-2"/>
          <w:lang w:val="nl-NL"/>
        </w:rPr>
        <w:t xml:space="preserve">, Chi cục Thuế (nay là Đội Thuế cấp huyện) chưa chuyển hồ sơ cho Cục Thuế (nay là Chi cục Thuế khu vực) thì Chi cục Thuế (nay là Đội Thuế cấp huyện) </w:t>
      </w:r>
      <w:r w:rsidR="00EB5E7E">
        <w:rPr>
          <w:rFonts w:cs="Times New Roman"/>
          <w:spacing w:val="-2"/>
          <w:lang w:val="nl-NL"/>
        </w:rPr>
        <w:t>tiếp tục thực hiện</w:t>
      </w:r>
      <w:r w:rsidRPr="00CF2F69">
        <w:rPr>
          <w:rFonts w:cs="Calibri Light"/>
          <w:spacing w:val="-2"/>
          <w:lang w:val="nl-NL"/>
        </w:rPr>
        <w:t xml:space="preserve"> giải quyết hoàn thuế cho người nộp thuế</w:t>
      </w:r>
      <w:r w:rsidR="00EB5E7E">
        <w:rPr>
          <w:rFonts w:cs="Calibri Light"/>
          <w:spacing w:val="-2"/>
          <w:lang w:val="nl-NL"/>
        </w:rPr>
        <w:t xml:space="preserve"> theo quy định</w:t>
      </w:r>
      <w:bookmarkStart w:id="4" w:name="_GoBack"/>
      <w:bookmarkEnd w:id="4"/>
      <w:r w:rsidRPr="00CF2F69">
        <w:rPr>
          <w:rFonts w:cs="Times New Roman"/>
          <w:spacing w:val="-2"/>
          <w:lang w:val="nl-NL"/>
        </w:rPr>
        <w:t xml:space="preserve">. </w:t>
      </w:r>
    </w:p>
    <w:p w:rsidR="000B7FD2" w:rsidRPr="00CF2F69" w:rsidRDefault="000B7FD2" w:rsidP="00FF237E">
      <w:pPr>
        <w:tabs>
          <w:tab w:val="left" w:pos="4074"/>
        </w:tabs>
        <w:spacing w:after="120" w:line="252" w:lineRule="auto"/>
        <w:ind w:firstLine="709"/>
        <w:rPr>
          <w:rFonts w:cs="Calibri Light"/>
          <w:lang w:val="nl-NL"/>
        </w:rPr>
      </w:pPr>
      <w:r w:rsidRPr="00CF2F69">
        <w:rPr>
          <w:rFonts w:cs="Times New Roman"/>
          <w:lang w:val="nl-NL"/>
        </w:rPr>
        <w:t xml:space="preserve">b) </w:t>
      </w:r>
      <w:r w:rsidRPr="00CF2F69">
        <w:rPr>
          <w:rFonts w:cs="Calibri Light"/>
          <w:lang w:val="nl-NL"/>
        </w:rPr>
        <w:t xml:space="preserve">Đối với các hồ sơ đề nghị hoàn thuế của người nộp thuế do Chi cục Thuế </w:t>
      </w:r>
      <w:r w:rsidRPr="00CF2F69">
        <w:rPr>
          <w:rFonts w:cs="Times New Roman"/>
          <w:spacing w:val="-2"/>
          <w:lang w:val="nl-NL"/>
        </w:rPr>
        <w:t xml:space="preserve">(nay là Đội Thuế cấp huyện) </w:t>
      </w:r>
      <w:r w:rsidRPr="00CF2F69">
        <w:rPr>
          <w:rFonts w:cs="Calibri Light"/>
          <w:lang w:val="nl-NL"/>
        </w:rPr>
        <w:t xml:space="preserve">quản lý trực tiếp, trừ </w:t>
      </w:r>
      <w:r w:rsidRPr="00CF2F69">
        <w:rPr>
          <w:rFonts w:cs="Times New Roman"/>
          <w:spacing w:val="-2"/>
          <w:lang w:val="nl-NL"/>
        </w:rPr>
        <w:t xml:space="preserve">4 Cục Thuế tỉnh/thành phố: Hà Nội (nay là Chi cục Thuế khu vực I), Hồ Chí Minh (nay là Chi cục Thuế khu vực II), Bình Dương (nay là Chi cục Thuế khu vực XVI), Đồng Nai (nay là Chi cục Thuế khu vực XV) </w:t>
      </w:r>
      <w:r w:rsidRPr="00CF2F69">
        <w:rPr>
          <w:rFonts w:cs="Calibri Light"/>
          <w:lang w:val="nl-NL"/>
        </w:rPr>
        <w:t>quy định tại điể</w:t>
      </w:r>
      <w:r w:rsidR="00CA066F">
        <w:rPr>
          <w:rFonts w:cs="Calibri Light"/>
          <w:lang w:val="nl-NL"/>
        </w:rPr>
        <w:t>m a k</w:t>
      </w:r>
      <w:r w:rsidRPr="00CF2F69">
        <w:rPr>
          <w:rFonts w:cs="Calibri Light"/>
          <w:lang w:val="nl-NL"/>
        </w:rPr>
        <w:t xml:space="preserve">hoản này) được Cục Thuế </w:t>
      </w:r>
      <w:r w:rsidRPr="00CF2F69">
        <w:rPr>
          <w:rFonts w:cs="Times New Roman"/>
          <w:spacing w:val="-2"/>
          <w:lang w:val="nl-NL"/>
        </w:rPr>
        <w:t xml:space="preserve">(nay là Chi cục Thuế khu vực) </w:t>
      </w:r>
      <w:r w:rsidRPr="00CF2F69">
        <w:rPr>
          <w:rFonts w:cs="Calibri Light"/>
          <w:lang w:val="nl-NL"/>
        </w:rPr>
        <w:t xml:space="preserve">tiếp nhận trước ngày 01/01/2025 nhưng đến ngày Luật số 56/2024/QH15 có hiệu lực thi hành, Cục Thuế </w:t>
      </w:r>
      <w:r w:rsidRPr="00CF2F69">
        <w:rPr>
          <w:rFonts w:cs="Times New Roman"/>
          <w:spacing w:val="-2"/>
          <w:lang w:val="nl-NL"/>
        </w:rPr>
        <w:t xml:space="preserve">(nay là Chi cục Thuế khu vực) </w:t>
      </w:r>
      <w:r w:rsidRPr="00CF2F69">
        <w:rPr>
          <w:rFonts w:cs="Calibri Light"/>
          <w:lang w:val="nl-NL"/>
        </w:rPr>
        <w:t xml:space="preserve">chưa ban hành Quyết định hoàn thuế hoặc Quyết định hoàn kiêm bù trừ thu </w:t>
      </w:r>
      <w:r>
        <w:rPr>
          <w:rFonts w:cs="Calibri Light"/>
          <w:lang w:val="nl-NL"/>
        </w:rPr>
        <w:t>ngân</w:t>
      </w:r>
      <w:r>
        <w:rPr>
          <w:rFonts w:cs="Calibri Light"/>
        </w:rPr>
        <w:t xml:space="preserve"> sách nhà nước </w:t>
      </w:r>
      <w:r w:rsidRPr="00CF2F69">
        <w:rPr>
          <w:rFonts w:cs="Calibri Light"/>
          <w:lang w:val="nl-NL"/>
        </w:rPr>
        <w:t xml:space="preserve">hoặc Thông báo về việc không hoàn thuế (nếu có) thì Cục Thuế </w:t>
      </w:r>
      <w:r w:rsidRPr="00CF2F69">
        <w:rPr>
          <w:rFonts w:cs="Times New Roman"/>
          <w:spacing w:val="-2"/>
          <w:lang w:val="nl-NL"/>
        </w:rPr>
        <w:t xml:space="preserve">(nay là Chi cục Thuế khu vực) </w:t>
      </w:r>
      <w:r w:rsidRPr="00CF2F69">
        <w:rPr>
          <w:rFonts w:cs="Calibri Light"/>
          <w:lang w:val="nl-NL"/>
        </w:rPr>
        <w:t xml:space="preserve">tiếp tục thực hiện các bước công việc chưa hoàn thành theo </w:t>
      </w:r>
      <w:r w:rsidRPr="00CF2F69">
        <w:rPr>
          <w:rFonts w:cs="Calibri Light"/>
          <w:lang w:val="nl-NL"/>
        </w:rPr>
        <w:lastRenderedPageBreak/>
        <w:t>trình tự, thủ tục quy định tại Thông tư số</w:t>
      </w:r>
      <w:r w:rsidR="000D2B34">
        <w:rPr>
          <w:rFonts w:cs="Calibri Light"/>
          <w:lang w:val="nl-NL"/>
        </w:rPr>
        <w:t xml:space="preserve"> 80/2021/TT-BTC ngày 29 tháng 9 năm </w:t>
      </w:r>
      <w:r w:rsidRPr="00CF2F69">
        <w:rPr>
          <w:rFonts w:cs="Calibri Light"/>
          <w:lang w:val="nl-NL"/>
        </w:rPr>
        <w:t>2021 của Bộ Tài chính để giải quyết hoàn thuế cho người nộp thuế.</w:t>
      </w:r>
    </w:p>
    <w:p w:rsidR="000C5122" w:rsidRDefault="009F08D1" w:rsidP="00FF237E">
      <w:pPr>
        <w:tabs>
          <w:tab w:val="left" w:pos="4074"/>
        </w:tabs>
        <w:spacing w:after="120" w:line="252" w:lineRule="auto"/>
        <w:ind w:firstLine="709"/>
        <w:rPr>
          <w:rFonts w:cs="Times New Roman"/>
          <w:lang w:val="nl-NL"/>
        </w:rPr>
      </w:pPr>
      <w:r>
        <w:rPr>
          <w:rFonts w:cs="Times New Roman"/>
          <w:lang w:val="nl-NL"/>
        </w:rPr>
        <w:t xml:space="preserve">3. </w:t>
      </w:r>
      <w:r w:rsidR="004C1BC4">
        <w:rPr>
          <w:rFonts w:cs="Times New Roman"/>
          <w:lang w:val="nl-NL"/>
        </w:rPr>
        <w:t>Khi</w:t>
      </w:r>
      <w:r>
        <w:rPr>
          <w:rFonts w:cs="Times New Roman"/>
          <w:lang w:val="nl-NL"/>
        </w:rPr>
        <w:t xml:space="preserve"> các văn bản quy phạm pháp luật được viện dẫn tại Thông tư này được sửa đổi, bổ sung hoặc thay thế bằng văn bản quy phạm pháp luật mới thì áp dụng theo các văn bản mới đó.</w:t>
      </w:r>
      <w:r w:rsidR="000C5122">
        <w:rPr>
          <w:rFonts w:cs="Times New Roman"/>
          <w:lang w:val="nl-NL"/>
        </w:rPr>
        <w:t xml:space="preserve"> </w:t>
      </w:r>
    </w:p>
    <w:p w:rsidR="008D5FA2" w:rsidRDefault="000C5122" w:rsidP="00FF237E">
      <w:pPr>
        <w:tabs>
          <w:tab w:val="left" w:pos="4074"/>
        </w:tabs>
        <w:spacing w:after="120" w:line="252" w:lineRule="auto"/>
        <w:ind w:firstLine="709"/>
        <w:rPr>
          <w:rFonts w:cs="Times New Roman"/>
          <w:lang w:val="nl-NL"/>
        </w:rPr>
      </w:pPr>
      <w:r>
        <w:rPr>
          <w:rFonts w:cs="Times New Roman"/>
          <w:lang w:val="nl-NL"/>
        </w:rPr>
        <w:t xml:space="preserve">4. </w:t>
      </w:r>
      <w:r w:rsidR="009F08D1">
        <w:rPr>
          <w:rFonts w:cs="Times New Roman"/>
          <w:lang w:val="nl-NL"/>
        </w:rPr>
        <w:t>Trong quá trình thực hiệ</w:t>
      </w:r>
      <w:r w:rsidR="00FF12B0">
        <w:rPr>
          <w:rFonts w:cs="Times New Roman"/>
          <w:lang w:val="nl-NL"/>
        </w:rPr>
        <w:t xml:space="preserve">n nếu có </w:t>
      </w:r>
      <w:r w:rsidR="009F08D1">
        <w:rPr>
          <w:rFonts w:cs="Times New Roman"/>
          <w:lang w:val="nl-NL"/>
        </w:rPr>
        <w:t xml:space="preserve">vướng mắc, đề nghị các tổ chức, cá nhân phản ánh kịp thời về Bộ Tài chính để được </w:t>
      </w:r>
      <w:r w:rsidR="009F08D1">
        <w:rPr>
          <w:rFonts w:cs="Times New Roman"/>
          <w:color w:val="000000" w:themeColor="text1"/>
          <w:lang w:val="nl-NL"/>
        </w:rPr>
        <w:t>hướng dẫn</w:t>
      </w:r>
      <w:r w:rsidR="009F08D1">
        <w:rPr>
          <w:rFonts w:cs="Times New Roman"/>
          <w:lang w:val="nl-NL"/>
        </w:rPr>
        <w:t>./.</w:t>
      </w:r>
    </w:p>
    <w:p w:rsidR="006356B9" w:rsidRDefault="006356B9" w:rsidP="006356B9">
      <w:pPr>
        <w:tabs>
          <w:tab w:val="left" w:pos="4074"/>
        </w:tabs>
        <w:spacing w:after="0" w:line="240" w:lineRule="auto"/>
        <w:ind w:firstLine="709"/>
        <w:rPr>
          <w:rFonts w:cs="Times New Roman"/>
          <w:lang w:val="nl-NL"/>
        </w:rPr>
      </w:pPr>
    </w:p>
    <w:tbl>
      <w:tblPr>
        <w:tblW w:w="9106" w:type="dxa"/>
        <w:tblLook w:val="04A0" w:firstRow="1" w:lastRow="0" w:firstColumn="1" w:lastColumn="0" w:noHBand="0" w:noVBand="1"/>
      </w:tblPr>
      <w:tblGrid>
        <w:gridCol w:w="4678"/>
        <w:gridCol w:w="4428"/>
      </w:tblGrid>
      <w:tr w:rsidR="008D5FA2">
        <w:tc>
          <w:tcPr>
            <w:tcW w:w="4678" w:type="dxa"/>
            <w:shd w:val="clear" w:color="auto" w:fill="auto"/>
          </w:tcPr>
          <w:p w:rsidR="008D5FA2" w:rsidRDefault="009F08D1">
            <w:pPr>
              <w:tabs>
                <w:tab w:val="left" w:pos="4074"/>
              </w:tabs>
              <w:spacing w:after="0" w:line="240" w:lineRule="auto"/>
              <w:jc w:val="left"/>
              <w:rPr>
                <w:rFonts w:cs="Times New Roman"/>
                <w:sz w:val="22"/>
                <w:szCs w:val="22"/>
                <w:lang w:val="nl-NL"/>
              </w:rPr>
            </w:pPr>
            <w:r>
              <w:rPr>
                <w:rFonts w:cs="Times New Roman"/>
                <w:b/>
                <w:i/>
                <w:sz w:val="24"/>
                <w:szCs w:val="24"/>
                <w:lang w:val="nl-NL"/>
              </w:rPr>
              <w:t>Nơi nhận:</w:t>
            </w:r>
            <w:r>
              <w:rPr>
                <w:rFonts w:cs="Times New Roman"/>
                <w:sz w:val="22"/>
                <w:szCs w:val="22"/>
                <w:lang w:val="nl-NL"/>
              </w:rPr>
              <w:br/>
              <w:t>- Văn phòng Trung ương và các Ban của Đảng;</w:t>
            </w:r>
            <w:r>
              <w:rPr>
                <w:rFonts w:cs="Times New Roman"/>
                <w:sz w:val="22"/>
                <w:szCs w:val="22"/>
                <w:lang w:val="nl-NL"/>
              </w:rPr>
              <w:br/>
              <w:t>- Văn phòng Quốc hội;</w:t>
            </w:r>
            <w:r>
              <w:rPr>
                <w:rFonts w:cs="Times New Roman"/>
                <w:sz w:val="22"/>
                <w:szCs w:val="22"/>
                <w:lang w:val="nl-NL"/>
              </w:rPr>
              <w:br/>
              <w:t>- Văn phòng Chủ tịch nước;</w:t>
            </w:r>
            <w:r>
              <w:rPr>
                <w:rFonts w:cs="Times New Roman"/>
                <w:sz w:val="22"/>
                <w:szCs w:val="22"/>
                <w:lang w:val="nl-NL"/>
              </w:rPr>
              <w:br/>
              <w:t>- Văn phòng Tổng Bí thư;</w:t>
            </w:r>
            <w:r>
              <w:rPr>
                <w:rFonts w:cs="Times New Roman"/>
                <w:sz w:val="22"/>
                <w:szCs w:val="22"/>
                <w:lang w:val="nl-NL"/>
              </w:rPr>
              <w:br/>
              <w:t>- Viện Kiểm sát nhân dân tối cao;</w:t>
            </w:r>
            <w:r>
              <w:rPr>
                <w:rFonts w:cs="Times New Roman"/>
                <w:sz w:val="22"/>
                <w:szCs w:val="22"/>
                <w:lang w:val="nl-NL"/>
              </w:rPr>
              <w:br/>
              <w:t>- Toà án nhân dân tối cao;</w:t>
            </w:r>
            <w:r>
              <w:rPr>
                <w:rFonts w:cs="Times New Roman"/>
                <w:sz w:val="22"/>
                <w:szCs w:val="22"/>
                <w:lang w:val="nl-NL"/>
              </w:rPr>
              <w:br/>
              <w:t>- Kiểm toán nhà nước;</w:t>
            </w:r>
            <w:r>
              <w:rPr>
                <w:rFonts w:cs="Times New Roman"/>
                <w:sz w:val="22"/>
                <w:szCs w:val="22"/>
                <w:lang w:val="nl-NL"/>
              </w:rPr>
              <w:br/>
              <w:t xml:space="preserve">- Các Bộ, cơ quan ngang Bộ, </w:t>
            </w:r>
            <w:r>
              <w:rPr>
                <w:rFonts w:cs="Times New Roman"/>
                <w:sz w:val="22"/>
                <w:szCs w:val="22"/>
                <w:lang w:val="nl-NL"/>
              </w:rPr>
              <w:br/>
              <w:t xml:space="preserve"> cơ quan thuộc Chính phủ,</w:t>
            </w:r>
            <w:r>
              <w:rPr>
                <w:rFonts w:cs="Times New Roman"/>
                <w:sz w:val="22"/>
                <w:szCs w:val="22"/>
                <w:lang w:val="nl-NL"/>
              </w:rPr>
              <w:br/>
              <w:t>- Cơ quan Trung ương của các đoàn thể;</w:t>
            </w:r>
            <w:r>
              <w:rPr>
                <w:rFonts w:cs="Times New Roman"/>
                <w:sz w:val="22"/>
                <w:szCs w:val="22"/>
                <w:lang w:val="nl-NL"/>
              </w:rPr>
              <w:br/>
              <w:t xml:space="preserve">- Hội đồng nhân dân, Uỷ ban nhân dân, </w:t>
            </w:r>
            <w:r>
              <w:rPr>
                <w:rFonts w:cs="Times New Roman"/>
                <w:sz w:val="22"/>
                <w:szCs w:val="22"/>
                <w:lang w:val="nl-NL"/>
              </w:rPr>
              <w:br/>
              <w:t xml:space="preserve"> Sở Tài chính, Chi cục Thuế, Kho bạc Nhà nước các tỉnh, thành phố trực thuộc Trung ương;</w:t>
            </w:r>
            <w:r>
              <w:rPr>
                <w:rFonts w:cs="Times New Roman"/>
                <w:sz w:val="22"/>
                <w:szCs w:val="22"/>
                <w:lang w:val="nl-NL"/>
              </w:rPr>
              <w:br/>
              <w:t>- Công báo;</w:t>
            </w:r>
            <w:r>
              <w:rPr>
                <w:rFonts w:cs="Times New Roman"/>
                <w:sz w:val="22"/>
                <w:szCs w:val="22"/>
                <w:lang w:val="nl-NL"/>
              </w:rPr>
              <w:br/>
              <w:t>- Cục Kiểm tra văn bản</w:t>
            </w:r>
            <w:r>
              <w:rPr>
                <w:rFonts w:cs="Times New Roman"/>
                <w:sz w:val="22"/>
                <w:szCs w:val="22"/>
                <w:lang w:val="en-US"/>
              </w:rPr>
              <w:t xml:space="preserve"> v</w:t>
            </w:r>
            <w:r>
              <w:rPr>
                <w:sz w:val="22"/>
                <w:szCs w:val="22"/>
                <w:lang w:val="en-US"/>
              </w:rPr>
              <w:t>à Quản lý xử lý vi phạm hành chính</w:t>
            </w:r>
            <w:r>
              <w:rPr>
                <w:rFonts w:cs="Times New Roman"/>
                <w:sz w:val="22"/>
                <w:szCs w:val="22"/>
                <w:lang w:val="nl-NL"/>
              </w:rPr>
              <w:t xml:space="preserve"> (Bộ Tư pháp);</w:t>
            </w:r>
            <w:r>
              <w:rPr>
                <w:rFonts w:cs="Times New Roman"/>
                <w:sz w:val="22"/>
                <w:szCs w:val="22"/>
                <w:lang w:val="nl-NL"/>
              </w:rPr>
              <w:br/>
              <w:t>- Website Chính phủ;</w:t>
            </w:r>
            <w:r>
              <w:rPr>
                <w:rFonts w:cs="Times New Roman"/>
                <w:sz w:val="22"/>
                <w:szCs w:val="22"/>
                <w:lang w:val="nl-NL"/>
              </w:rPr>
              <w:br/>
              <w:t>-Website Bộ Tài chính; Website Cục Thuế;</w:t>
            </w:r>
            <w:r>
              <w:rPr>
                <w:rFonts w:cs="Times New Roman"/>
                <w:sz w:val="22"/>
                <w:szCs w:val="22"/>
                <w:lang w:val="nl-NL"/>
              </w:rPr>
              <w:br/>
              <w:t>- Các đơn vị thuộc Bộ Tài chính;</w:t>
            </w:r>
            <w:r>
              <w:rPr>
                <w:rFonts w:cs="Times New Roman"/>
                <w:sz w:val="22"/>
                <w:szCs w:val="22"/>
                <w:lang w:val="nl-NL"/>
              </w:rPr>
              <w:br/>
              <w:t>- Lưu: VT, CT (VT, CS (     b)).</w:t>
            </w:r>
          </w:p>
        </w:tc>
        <w:tc>
          <w:tcPr>
            <w:tcW w:w="4428" w:type="dxa"/>
            <w:shd w:val="clear" w:color="auto" w:fill="auto"/>
          </w:tcPr>
          <w:p w:rsidR="006160EF" w:rsidRDefault="009F08D1">
            <w:pPr>
              <w:tabs>
                <w:tab w:val="left" w:pos="4074"/>
              </w:tabs>
              <w:spacing w:after="0" w:line="240" w:lineRule="auto"/>
              <w:ind w:hanging="10"/>
              <w:jc w:val="center"/>
              <w:rPr>
                <w:rFonts w:cs="Times New Roman"/>
                <w:b/>
                <w:sz w:val="26"/>
                <w:szCs w:val="26"/>
                <w:lang w:val="nl-NL"/>
              </w:rPr>
            </w:pPr>
            <w:r>
              <w:rPr>
                <w:rFonts w:cs="Times New Roman"/>
                <w:b/>
                <w:sz w:val="26"/>
                <w:szCs w:val="26"/>
                <w:lang w:val="nl-NL"/>
              </w:rPr>
              <w:t>KT. BỘ TRƯỞNG</w:t>
            </w:r>
            <w:r>
              <w:rPr>
                <w:rFonts w:cs="Times New Roman"/>
                <w:b/>
                <w:sz w:val="26"/>
                <w:szCs w:val="26"/>
                <w:lang w:val="nl-NL"/>
              </w:rPr>
              <w:br/>
              <w:t>THỨ TRƯỞNG</w:t>
            </w:r>
            <w:r>
              <w:rPr>
                <w:rFonts w:cs="Times New Roman"/>
                <w:b/>
                <w:sz w:val="26"/>
                <w:szCs w:val="26"/>
                <w:lang w:val="nl-NL"/>
              </w:rPr>
              <w:br/>
            </w:r>
            <w:r>
              <w:rPr>
                <w:rFonts w:cs="Times New Roman"/>
                <w:b/>
                <w:sz w:val="26"/>
                <w:szCs w:val="26"/>
                <w:lang w:val="nl-NL"/>
              </w:rPr>
              <w:br/>
            </w:r>
            <w:r>
              <w:rPr>
                <w:rFonts w:cs="Times New Roman"/>
                <w:b/>
                <w:sz w:val="26"/>
                <w:szCs w:val="26"/>
                <w:lang w:val="nl-NL"/>
              </w:rPr>
              <w:br/>
            </w:r>
            <w:r>
              <w:rPr>
                <w:rFonts w:cs="Times New Roman"/>
                <w:b/>
                <w:sz w:val="26"/>
                <w:szCs w:val="26"/>
                <w:lang w:val="nl-NL"/>
              </w:rPr>
              <w:br/>
            </w:r>
          </w:p>
          <w:p w:rsidR="006160EF" w:rsidRDefault="006160EF">
            <w:pPr>
              <w:tabs>
                <w:tab w:val="left" w:pos="4074"/>
              </w:tabs>
              <w:spacing w:after="0" w:line="240" w:lineRule="auto"/>
              <w:ind w:hanging="10"/>
              <w:jc w:val="center"/>
              <w:rPr>
                <w:rFonts w:cs="Times New Roman"/>
                <w:b/>
                <w:sz w:val="26"/>
                <w:szCs w:val="26"/>
                <w:lang w:val="nl-NL"/>
              </w:rPr>
            </w:pPr>
          </w:p>
          <w:p w:rsidR="008D5FA2" w:rsidRDefault="006160EF">
            <w:pPr>
              <w:tabs>
                <w:tab w:val="left" w:pos="4074"/>
              </w:tabs>
              <w:spacing w:after="0" w:line="240" w:lineRule="auto"/>
              <w:ind w:hanging="10"/>
              <w:jc w:val="center"/>
              <w:rPr>
                <w:rFonts w:cs="Times New Roman"/>
                <w:b/>
                <w:sz w:val="26"/>
                <w:szCs w:val="26"/>
                <w:lang w:val="nl-NL"/>
              </w:rPr>
            </w:pPr>
            <w:r w:rsidRPr="007B08C4">
              <w:rPr>
                <w:rFonts w:cs="Times New Roman"/>
                <w:b/>
                <w:szCs w:val="26"/>
                <w:lang w:val="nl-NL"/>
              </w:rPr>
              <w:t>Cao Anh Tuấn</w:t>
            </w:r>
            <w:r w:rsidR="009F08D1">
              <w:rPr>
                <w:rFonts w:cs="Times New Roman"/>
                <w:b/>
                <w:sz w:val="26"/>
                <w:szCs w:val="26"/>
                <w:lang w:val="nl-NL"/>
              </w:rPr>
              <w:br/>
            </w:r>
          </w:p>
        </w:tc>
      </w:tr>
    </w:tbl>
    <w:p w:rsidR="008D5FA2" w:rsidRDefault="008D5FA2">
      <w:pPr>
        <w:tabs>
          <w:tab w:val="left" w:pos="4074"/>
        </w:tabs>
        <w:snapToGrid w:val="0"/>
        <w:spacing w:before="0" w:after="120" w:line="240" w:lineRule="auto"/>
        <w:jc w:val="left"/>
        <w:rPr>
          <w:rFonts w:ascii="Arial" w:hAnsi="Arial" w:cs="Arial"/>
          <w:sz w:val="22"/>
          <w:szCs w:val="22"/>
          <w:lang w:val="en-US"/>
        </w:rPr>
      </w:pPr>
    </w:p>
    <w:p w:rsidR="008D5FA2" w:rsidRDefault="008D5FA2">
      <w:pPr>
        <w:tabs>
          <w:tab w:val="left" w:pos="4074"/>
        </w:tabs>
        <w:spacing w:after="0" w:line="240" w:lineRule="auto"/>
        <w:ind w:firstLine="567"/>
        <w:rPr>
          <w:rFonts w:cs="Times New Roman"/>
          <w:lang w:val="nl-NL"/>
        </w:rPr>
      </w:pPr>
    </w:p>
    <w:sectPr w:rsidR="008D5FA2">
      <w:headerReference w:type="default" r:id="rId9"/>
      <w:pgSz w:w="11907" w:h="16840"/>
      <w:pgMar w:top="1134" w:right="1134" w:bottom="1134" w:left="1701" w:header="720" w:footer="22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07E" w:rsidRDefault="001D107E">
      <w:pPr>
        <w:spacing w:line="240" w:lineRule="auto"/>
      </w:pPr>
      <w:r>
        <w:separator/>
      </w:r>
    </w:p>
  </w:endnote>
  <w:endnote w:type="continuationSeparator" w:id="0">
    <w:p w:rsidR="001D107E" w:rsidRDefault="001D10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00000001" w:usb1="080E0000" w:usb2="00000010" w:usb3="00000000" w:csb0="00040000" w:csb1="00000000"/>
  </w:font>
  <w:font w:name="DengXian">
    <w:altName w:val="等线"/>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07E" w:rsidRDefault="001D107E">
      <w:pPr>
        <w:spacing w:before="0" w:after="0"/>
      </w:pPr>
      <w:r>
        <w:separator/>
      </w:r>
    </w:p>
  </w:footnote>
  <w:footnote w:type="continuationSeparator" w:id="0">
    <w:p w:rsidR="001D107E" w:rsidRDefault="001D107E">
      <w:pPr>
        <w:spacing w:before="0" w:after="0"/>
      </w:pPr>
      <w:r>
        <w:continuationSeparator/>
      </w:r>
    </w:p>
  </w:footnote>
  <w:footnote w:id="1">
    <w:p w:rsidR="002B094F" w:rsidRPr="002B094F" w:rsidRDefault="002B094F">
      <w:pPr>
        <w:pStyle w:val="FootnoteText"/>
        <w:rPr>
          <w:lang w:val="en-US"/>
        </w:rPr>
      </w:pPr>
      <w:r>
        <w:rPr>
          <w:rStyle w:val="FootnoteReference"/>
        </w:rPr>
        <w:footnoteRef/>
      </w:r>
      <w:r>
        <w:t xml:space="preserve"> </w:t>
      </w:r>
      <w:r>
        <w:rPr>
          <w:lang w:val="en-US"/>
        </w:rPr>
        <w:t>Chữ gạch ngang là nội dung bỏ đi so với hiện hành</w:t>
      </w:r>
    </w:p>
  </w:footnote>
  <w:footnote w:id="2">
    <w:p w:rsidR="002B094F" w:rsidRDefault="002B094F">
      <w:pPr>
        <w:pStyle w:val="FootnoteText"/>
        <w:rPr>
          <w:lang w:val="en-US"/>
        </w:rPr>
      </w:pPr>
      <w:r>
        <w:rPr>
          <w:rStyle w:val="FootnoteReference"/>
        </w:rPr>
        <w:footnoteRef/>
      </w:r>
      <w:r>
        <w:t xml:space="preserve"> </w:t>
      </w:r>
      <w:r>
        <w:rPr>
          <w:lang w:val="en-US"/>
        </w:rPr>
        <w:t>Chữ đậm nghiêng là nội dung bổ sung so với hiện hành</w:t>
      </w:r>
    </w:p>
    <w:p w:rsidR="002B094F" w:rsidRPr="002B094F" w:rsidRDefault="002B094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593482"/>
    </w:sdtPr>
    <w:sdtEndPr>
      <w:rPr>
        <w:sz w:val="26"/>
        <w:szCs w:val="26"/>
      </w:rPr>
    </w:sdtEndPr>
    <w:sdtContent>
      <w:p w:rsidR="008D5FA2" w:rsidRDefault="009F08D1">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EB5E7E">
          <w:rPr>
            <w:noProof/>
            <w:sz w:val="26"/>
            <w:szCs w:val="26"/>
          </w:rPr>
          <w:t>4</w:t>
        </w:r>
        <w:r>
          <w:rPr>
            <w:sz w:val="26"/>
            <w:szCs w:val="26"/>
          </w:rPr>
          <w:fldChar w:fldCharType="end"/>
        </w:r>
      </w:p>
    </w:sdtContent>
  </w:sdt>
  <w:p w:rsidR="008D5FA2" w:rsidRDefault="008D5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356F3"/>
    <w:multiLevelType w:val="hybridMultilevel"/>
    <w:tmpl w:val="7C0E958E"/>
    <w:lvl w:ilvl="0" w:tplc="BAE8D658">
      <w:start w:val="2"/>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6D797FBF"/>
    <w:multiLevelType w:val="multilevel"/>
    <w:tmpl w:val="6D797FBF"/>
    <w:lvl w:ilvl="0">
      <w:start w:val="1"/>
      <w:numFmt w:val="decimal"/>
      <w:pStyle w:val="Heading2"/>
      <w:lvlText w:val="Điều %1."/>
      <w:lvlJc w:val="left"/>
      <w:pPr>
        <w:ind w:left="1637"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5694" w:hanging="360"/>
      </w:pPr>
    </w:lvl>
    <w:lvl w:ilvl="2">
      <w:start w:val="1"/>
      <w:numFmt w:val="lowerRoman"/>
      <w:lvlText w:val="%3."/>
      <w:lvlJc w:val="right"/>
      <w:pPr>
        <w:ind w:left="6414" w:hanging="180"/>
      </w:pPr>
    </w:lvl>
    <w:lvl w:ilvl="3">
      <w:start w:val="1"/>
      <w:numFmt w:val="decimal"/>
      <w:lvlText w:val="%4."/>
      <w:lvlJc w:val="left"/>
      <w:pPr>
        <w:ind w:left="7134" w:hanging="360"/>
      </w:pPr>
    </w:lvl>
    <w:lvl w:ilvl="4">
      <w:start w:val="1"/>
      <w:numFmt w:val="lowerLetter"/>
      <w:lvlText w:val="%5."/>
      <w:lvlJc w:val="left"/>
      <w:pPr>
        <w:ind w:left="7854" w:hanging="360"/>
      </w:pPr>
    </w:lvl>
    <w:lvl w:ilvl="5">
      <w:start w:val="1"/>
      <w:numFmt w:val="lowerRoman"/>
      <w:lvlText w:val="%6."/>
      <w:lvlJc w:val="right"/>
      <w:pPr>
        <w:ind w:left="8574" w:hanging="180"/>
      </w:pPr>
    </w:lvl>
    <w:lvl w:ilvl="6">
      <w:start w:val="1"/>
      <w:numFmt w:val="decimal"/>
      <w:lvlText w:val="%7."/>
      <w:lvlJc w:val="left"/>
      <w:pPr>
        <w:ind w:left="9294" w:hanging="360"/>
      </w:pPr>
    </w:lvl>
    <w:lvl w:ilvl="7">
      <w:start w:val="1"/>
      <w:numFmt w:val="lowerLetter"/>
      <w:lvlText w:val="%8."/>
      <w:lvlJc w:val="left"/>
      <w:pPr>
        <w:ind w:left="10014" w:hanging="360"/>
      </w:pPr>
    </w:lvl>
    <w:lvl w:ilvl="8">
      <w:start w:val="1"/>
      <w:numFmt w:val="lowerRoman"/>
      <w:lvlText w:val="%9."/>
      <w:lvlJc w:val="right"/>
      <w:pPr>
        <w:ind w:left="107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16"/>
    <w:rsid w:val="00011ED0"/>
    <w:rsid w:val="00015955"/>
    <w:rsid w:val="00025174"/>
    <w:rsid w:val="00056914"/>
    <w:rsid w:val="00072F22"/>
    <w:rsid w:val="0007774B"/>
    <w:rsid w:val="000A10EC"/>
    <w:rsid w:val="000A7D61"/>
    <w:rsid w:val="000B2804"/>
    <w:rsid w:val="000B595B"/>
    <w:rsid w:val="000B7FD2"/>
    <w:rsid w:val="000C5122"/>
    <w:rsid w:val="000C559D"/>
    <w:rsid w:val="000C56E6"/>
    <w:rsid w:val="000D2B34"/>
    <w:rsid w:val="000E654B"/>
    <w:rsid w:val="000F1CE5"/>
    <w:rsid w:val="000F34D5"/>
    <w:rsid w:val="000F4672"/>
    <w:rsid w:val="000F5E92"/>
    <w:rsid w:val="0011562C"/>
    <w:rsid w:val="00124499"/>
    <w:rsid w:val="00125FA2"/>
    <w:rsid w:val="00126CE3"/>
    <w:rsid w:val="0013017E"/>
    <w:rsid w:val="001367ED"/>
    <w:rsid w:val="001578C9"/>
    <w:rsid w:val="001645D9"/>
    <w:rsid w:val="00171663"/>
    <w:rsid w:val="00180A8A"/>
    <w:rsid w:val="00191E70"/>
    <w:rsid w:val="001A0AA9"/>
    <w:rsid w:val="001A5C6C"/>
    <w:rsid w:val="001A68F9"/>
    <w:rsid w:val="001B19C8"/>
    <w:rsid w:val="001B4063"/>
    <w:rsid w:val="001B5A93"/>
    <w:rsid w:val="001D107E"/>
    <w:rsid w:val="001F048D"/>
    <w:rsid w:val="00201C1B"/>
    <w:rsid w:val="00203D94"/>
    <w:rsid w:val="00210DDA"/>
    <w:rsid w:val="00213D2C"/>
    <w:rsid w:val="00227DC4"/>
    <w:rsid w:val="00232F9C"/>
    <w:rsid w:val="00240B8C"/>
    <w:rsid w:val="00245FC4"/>
    <w:rsid w:val="002610C7"/>
    <w:rsid w:val="00262440"/>
    <w:rsid w:val="00263959"/>
    <w:rsid w:val="002735AE"/>
    <w:rsid w:val="00273BD7"/>
    <w:rsid w:val="00280911"/>
    <w:rsid w:val="00280E35"/>
    <w:rsid w:val="00286024"/>
    <w:rsid w:val="002969DB"/>
    <w:rsid w:val="002B094F"/>
    <w:rsid w:val="002B2B75"/>
    <w:rsid w:val="002B6CBB"/>
    <w:rsid w:val="002C29C7"/>
    <w:rsid w:val="002C6D49"/>
    <w:rsid w:val="002D6E24"/>
    <w:rsid w:val="002E062B"/>
    <w:rsid w:val="002E205F"/>
    <w:rsid w:val="002E3709"/>
    <w:rsid w:val="002F7ED8"/>
    <w:rsid w:val="00305391"/>
    <w:rsid w:val="003266C5"/>
    <w:rsid w:val="00327D7F"/>
    <w:rsid w:val="00332F4D"/>
    <w:rsid w:val="00341269"/>
    <w:rsid w:val="0035009F"/>
    <w:rsid w:val="003603D5"/>
    <w:rsid w:val="00361CC7"/>
    <w:rsid w:val="00365752"/>
    <w:rsid w:val="003851EB"/>
    <w:rsid w:val="00391DAC"/>
    <w:rsid w:val="003943C7"/>
    <w:rsid w:val="003C3DA3"/>
    <w:rsid w:val="003C7408"/>
    <w:rsid w:val="003D2FDA"/>
    <w:rsid w:val="003D35B1"/>
    <w:rsid w:val="003D51FE"/>
    <w:rsid w:val="003D62AF"/>
    <w:rsid w:val="003F4CA6"/>
    <w:rsid w:val="003F4F1A"/>
    <w:rsid w:val="00410BB9"/>
    <w:rsid w:val="00416A9D"/>
    <w:rsid w:val="004213AF"/>
    <w:rsid w:val="00422477"/>
    <w:rsid w:val="0042644E"/>
    <w:rsid w:val="00431EAC"/>
    <w:rsid w:val="00436CEB"/>
    <w:rsid w:val="00442DCB"/>
    <w:rsid w:val="004515F6"/>
    <w:rsid w:val="004743B2"/>
    <w:rsid w:val="004830F8"/>
    <w:rsid w:val="004B062B"/>
    <w:rsid w:val="004B50C1"/>
    <w:rsid w:val="004C1BC4"/>
    <w:rsid w:val="004C48DC"/>
    <w:rsid w:val="004D50F5"/>
    <w:rsid w:val="004E4C25"/>
    <w:rsid w:val="004F0ACD"/>
    <w:rsid w:val="004F5C01"/>
    <w:rsid w:val="005073B2"/>
    <w:rsid w:val="00517F15"/>
    <w:rsid w:val="00532056"/>
    <w:rsid w:val="005472CC"/>
    <w:rsid w:val="005612B9"/>
    <w:rsid w:val="00562E87"/>
    <w:rsid w:val="00570957"/>
    <w:rsid w:val="00597AA8"/>
    <w:rsid w:val="005A772E"/>
    <w:rsid w:val="005C2BEF"/>
    <w:rsid w:val="005C30D6"/>
    <w:rsid w:val="005D7EAB"/>
    <w:rsid w:val="005E01F8"/>
    <w:rsid w:val="005E09FF"/>
    <w:rsid w:val="005E0FCE"/>
    <w:rsid w:val="005E1043"/>
    <w:rsid w:val="005F1EBF"/>
    <w:rsid w:val="00604057"/>
    <w:rsid w:val="006160EF"/>
    <w:rsid w:val="00626D65"/>
    <w:rsid w:val="006356B9"/>
    <w:rsid w:val="0063653E"/>
    <w:rsid w:val="00644144"/>
    <w:rsid w:val="00647DC0"/>
    <w:rsid w:val="00693366"/>
    <w:rsid w:val="00693C22"/>
    <w:rsid w:val="006B77C4"/>
    <w:rsid w:val="006C15FB"/>
    <w:rsid w:val="006D4C18"/>
    <w:rsid w:val="006E0961"/>
    <w:rsid w:val="006E3A13"/>
    <w:rsid w:val="006E5A12"/>
    <w:rsid w:val="00701CF7"/>
    <w:rsid w:val="00704659"/>
    <w:rsid w:val="007060C4"/>
    <w:rsid w:val="00707AC5"/>
    <w:rsid w:val="0072139E"/>
    <w:rsid w:val="00724CDC"/>
    <w:rsid w:val="00725581"/>
    <w:rsid w:val="0073091F"/>
    <w:rsid w:val="007426B5"/>
    <w:rsid w:val="007475CC"/>
    <w:rsid w:val="0075666D"/>
    <w:rsid w:val="007673FC"/>
    <w:rsid w:val="00767A87"/>
    <w:rsid w:val="00771B8A"/>
    <w:rsid w:val="007773AA"/>
    <w:rsid w:val="007A4A30"/>
    <w:rsid w:val="007A6C25"/>
    <w:rsid w:val="007B08C4"/>
    <w:rsid w:val="007B2FFE"/>
    <w:rsid w:val="007B3855"/>
    <w:rsid w:val="007B5B19"/>
    <w:rsid w:val="007C53E9"/>
    <w:rsid w:val="007C741C"/>
    <w:rsid w:val="007D1D9A"/>
    <w:rsid w:val="007D3E63"/>
    <w:rsid w:val="007D55BB"/>
    <w:rsid w:val="007E6B1E"/>
    <w:rsid w:val="007F43C3"/>
    <w:rsid w:val="00803DFD"/>
    <w:rsid w:val="0081460F"/>
    <w:rsid w:val="00817D28"/>
    <w:rsid w:val="008218A2"/>
    <w:rsid w:val="00823BB2"/>
    <w:rsid w:val="008254B0"/>
    <w:rsid w:val="00827930"/>
    <w:rsid w:val="0084400C"/>
    <w:rsid w:val="008472E7"/>
    <w:rsid w:val="008503F9"/>
    <w:rsid w:val="00855C99"/>
    <w:rsid w:val="00857E92"/>
    <w:rsid w:val="00877CFF"/>
    <w:rsid w:val="008802D6"/>
    <w:rsid w:val="008844DA"/>
    <w:rsid w:val="008860D2"/>
    <w:rsid w:val="00890403"/>
    <w:rsid w:val="0089655A"/>
    <w:rsid w:val="008965B5"/>
    <w:rsid w:val="008A0298"/>
    <w:rsid w:val="008D5FA2"/>
    <w:rsid w:val="008D66F7"/>
    <w:rsid w:val="008D7B80"/>
    <w:rsid w:val="008E181D"/>
    <w:rsid w:val="008E378A"/>
    <w:rsid w:val="008F3B1D"/>
    <w:rsid w:val="00905779"/>
    <w:rsid w:val="00923032"/>
    <w:rsid w:val="00927C79"/>
    <w:rsid w:val="00931389"/>
    <w:rsid w:val="00944B69"/>
    <w:rsid w:val="0095770B"/>
    <w:rsid w:val="00964B47"/>
    <w:rsid w:val="00974E82"/>
    <w:rsid w:val="0098384E"/>
    <w:rsid w:val="009901A2"/>
    <w:rsid w:val="009933D2"/>
    <w:rsid w:val="00994963"/>
    <w:rsid w:val="009A37D5"/>
    <w:rsid w:val="009A5262"/>
    <w:rsid w:val="009C1544"/>
    <w:rsid w:val="009C15FF"/>
    <w:rsid w:val="009E63B4"/>
    <w:rsid w:val="009F08D1"/>
    <w:rsid w:val="009F6F54"/>
    <w:rsid w:val="00A01353"/>
    <w:rsid w:val="00A026B4"/>
    <w:rsid w:val="00A122F9"/>
    <w:rsid w:val="00A14765"/>
    <w:rsid w:val="00A26E84"/>
    <w:rsid w:val="00A327E8"/>
    <w:rsid w:val="00A34B84"/>
    <w:rsid w:val="00A35E2B"/>
    <w:rsid w:val="00A47717"/>
    <w:rsid w:val="00A6100D"/>
    <w:rsid w:val="00A64A8A"/>
    <w:rsid w:val="00A73F00"/>
    <w:rsid w:val="00A83716"/>
    <w:rsid w:val="00AA3910"/>
    <w:rsid w:val="00AB003B"/>
    <w:rsid w:val="00AD248C"/>
    <w:rsid w:val="00AD647A"/>
    <w:rsid w:val="00AF54F6"/>
    <w:rsid w:val="00B00F95"/>
    <w:rsid w:val="00B04A0F"/>
    <w:rsid w:val="00B12033"/>
    <w:rsid w:val="00B20AAB"/>
    <w:rsid w:val="00B24FA4"/>
    <w:rsid w:val="00B26CC5"/>
    <w:rsid w:val="00B43B27"/>
    <w:rsid w:val="00B67F28"/>
    <w:rsid w:val="00B73B74"/>
    <w:rsid w:val="00B75398"/>
    <w:rsid w:val="00B93AD2"/>
    <w:rsid w:val="00B94BAB"/>
    <w:rsid w:val="00BB4946"/>
    <w:rsid w:val="00BC2C63"/>
    <w:rsid w:val="00BE359D"/>
    <w:rsid w:val="00BF1FCA"/>
    <w:rsid w:val="00BF4243"/>
    <w:rsid w:val="00C07A2F"/>
    <w:rsid w:val="00C160AF"/>
    <w:rsid w:val="00C20832"/>
    <w:rsid w:val="00C36CC4"/>
    <w:rsid w:val="00C37DE3"/>
    <w:rsid w:val="00C61E33"/>
    <w:rsid w:val="00C70F74"/>
    <w:rsid w:val="00C7320A"/>
    <w:rsid w:val="00C7731E"/>
    <w:rsid w:val="00C90016"/>
    <w:rsid w:val="00C915F5"/>
    <w:rsid w:val="00C93A8B"/>
    <w:rsid w:val="00CA066F"/>
    <w:rsid w:val="00CA62DA"/>
    <w:rsid w:val="00CA6795"/>
    <w:rsid w:val="00CB1298"/>
    <w:rsid w:val="00CC0024"/>
    <w:rsid w:val="00CD348E"/>
    <w:rsid w:val="00CD739C"/>
    <w:rsid w:val="00CD746B"/>
    <w:rsid w:val="00CF2F69"/>
    <w:rsid w:val="00D0618C"/>
    <w:rsid w:val="00D105CE"/>
    <w:rsid w:val="00D11E35"/>
    <w:rsid w:val="00D13011"/>
    <w:rsid w:val="00D1326F"/>
    <w:rsid w:val="00D1419F"/>
    <w:rsid w:val="00D143EF"/>
    <w:rsid w:val="00D14A9C"/>
    <w:rsid w:val="00D21A55"/>
    <w:rsid w:val="00D22C19"/>
    <w:rsid w:val="00D27EA2"/>
    <w:rsid w:val="00D30382"/>
    <w:rsid w:val="00D46B39"/>
    <w:rsid w:val="00D53FB6"/>
    <w:rsid w:val="00D70A5A"/>
    <w:rsid w:val="00D841E6"/>
    <w:rsid w:val="00D86D7C"/>
    <w:rsid w:val="00D9223E"/>
    <w:rsid w:val="00D9691E"/>
    <w:rsid w:val="00DA28E4"/>
    <w:rsid w:val="00DB4932"/>
    <w:rsid w:val="00DD1C05"/>
    <w:rsid w:val="00DD6919"/>
    <w:rsid w:val="00DE3580"/>
    <w:rsid w:val="00DF0A2B"/>
    <w:rsid w:val="00DF3D42"/>
    <w:rsid w:val="00E069A6"/>
    <w:rsid w:val="00E14B44"/>
    <w:rsid w:val="00E21528"/>
    <w:rsid w:val="00E249D0"/>
    <w:rsid w:val="00E42011"/>
    <w:rsid w:val="00E5368C"/>
    <w:rsid w:val="00E62EF9"/>
    <w:rsid w:val="00E86EDB"/>
    <w:rsid w:val="00E913C5"/>
    <w:rsid w:val="00EA635E"/>
    <w:rsid w:val="00EB5E7E"/>
    <w:rsid w:val="00EC019B"/>
    <w:rsid w:val="00EC74DD"/>
    <w:rsid w:val="00EF0DFB"/>
    <w:rsid w:val="00F214CC"/>
    <w:rsid w:val="00F31231"/>
    <w:rsid w:val="00F422B4"/>
    <w:rsid w:val="00F86EB3"/>
    <w:rsid w:val="00F87019"/>
    <w:rsid w:val="00FB0AC8"/>
    <w:rsid w:val="00FB677C"/>
    <w:rsid w:val="00FE4E50"/>
    <w:rsid w:val="00FF0E3A"/>
    <w:rsid w:val="00FF12B0"/>
    <w:rsid w:val="00FF237E"/>
    <w:rsid w:val="00FF2E21"/>
    <w:rsid w:val="00FF6C80"/>
    <w:rsid w:val="08A85C60"/>
    <w:rsid w:val="0A4B3548"/>
    <w:rsid w:val="10065F5E"/>
    <w:rsid w:val="11BF72E4"/>
    <w:rsid w:val="147F6C14"/>
    <w:rsid w:val="1CC95A0E"/>
    <w:rsid w:val="21A464AC"/>
    <w:rsid w:val="25722A8F"/>
    <w:rsid w:val="3C273A25"/>
    <w:rsid w:val="753A1974"/>
    <w:rsid w:val="76F27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4DDEC48"/>
  <w15:docId w15:val="{62CE2E97-BEA9-4E43-A692-E974CCB8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Calibri" w:hAnsi="Calibri Light" w:cs="Calibri Light"/>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200" w:line="276" w:lineRule="auto"/>
      <w:jc w:val="both"/>
    </w:pPr>
    <w:rPr>
      <w:rFonts w:ascii="Times New Roman" w:hAnsi="Times New Roman" w:cstheme="majorHAnsi"/>
      <w:sz w:val="28"/>
      <w:szCs w:val="28"/>
      <w:lang w:val="vi-VN" w:eastAsia="vi-VN"/>
    </w:rPr>
  </w:style>
  <w:style w:type="paragraph" w:styleId="Heading2">
    <w:name w:val="heading 2"/>
    <w:basedOn w:val="Normal"/>
    <w:next w:val="Normal"/>
    <w:link w:val="Heading2Char"/>
    <w:uiPriority w:val="9"/>
    <w:qFormat/>
    <w:pPr>
      <w:widowControl w:val="0"/>
      <w:numPr>
        <w:numId w:val="1"/>
      </w:numPr>
      <w:tabs>
        <w:tab w:val="left" w:pos="1701"/>
      </w:tabs>
      <w:snapToGrid w:val="0"/>
      <w:spacing w:after="0" w:line="240" w:lineRule="auto"/>
      <w:ind w:left="0" w:firstLine="633"/>
      <w:outlineLvl w:val="1"/>
    </w:pPr>
    <w:rPr>
      <w:rFonts w:cs="Times New Roman"/>
      <w:b/>
    </w:rPr>
  </w:style>
  <w:style w:type="paragraph" w:styleId="Heading3">
    <w:name w:val="heading 3"/>
    <w:basedOn w:val="Normal"/>
    <w:next w:val="Normal"/>
    <w:link w:val="Heading3Char"/>
    <w:qFormat/>
    <w:pPr>
      <w:spacing w:before="0" w:after="0" w:line="240" w:lineRule="auto"/>
      <w:jc w:val="center"/>
      <w:outlineLvl w:val="2"/>
    </w:pPr>
    <w:rPr>
      <w:rFonts w:eastAsia="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before="0"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paragraph" w:styleId="NormalWeb">
    <w:name w:val="Normal (Web)"/>
    <w:basedOn w:val="Normal"/>
    <w:link w:val="NormalWebChar"/>
    <w:uiPriority w:val="99"/>
    <w:unhideWhenUsed/>
    <w:qFormat/>
    <w:pPr>
      <w:spacing w:before="100" w:beforeAutospacing="1" w:after="100" w:afterAutospacing="1" w:line="240" w:lineRule="auto"/>
      <w:jc w:val="left"/>
    </w:pPr>
    <w:rPr>
      <w:rFonts w:eastAsia="Times New Roman" w:cs="Times New Roman"/>
      <w:sz w:val="24"/>
      <w:szCs w:val="24"/>
      <w:lang w:val="en-US" w:eastAsia="en-US"/>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qFormat/>
    <w:rPr>
      <w:rFonts w:ascii="Times New Roman" w:eastAsia="Calibri" w:hAnsi="Times New Roman" w:cs="Times New Roman"/>
      <w:b/>
      <w:sz w:val="28"/>
      <w:szCs w:val="28"/>
      <w:lang w:val="vi-VN" w:eastAsia="vi-VN"/>
    </w:rPr>
  </w:style>
  <w:style w:type="character" w:customStyle="1" w:styleId="NormalWebChar">
    <w:name w:val="Normal (Web) Char"/>
    <w:link w:val="NormalWeb"/>
    <w:uiPriority w:val="99"/>
    <w:qFormat/>
    <w:locked/>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Pr>
      <w:rFonts w:ascii="Times New Roman" w:eastAsia="Calibri" w:hAnsi="Times New Roman" w:cstheme="majorHAnsi"/>
      <w:sz w:val="28"/>
      <w:szCs w:val="28"/>
      <w:lang w:val="vi-VN" w:eastAsia="vi-VN"/>
    </w:rPr>
  </w:style>
  <w:style w:type="character" w:customStyle="1" w:styleId="FooterChar">
    <w:name w:val="Footer Char"/>
    <w:basedOn w:val="DefaultParagraphFont"/>
    <w:link w:val="Footer"/>
    <w:uiPriority w:val="99"/>
    <w:qFormat/>
    <w:rPr>
      <w:rFonts w:ascii="Times New Roman" w:eastAsia="Calibri" w:hAnsi="Times New Roman" w:cstheme="majorHAnsi"/>
      <w:sz w:val="28"/>
      <w:szCs w:val="28"/>
      <w:lang w:val="vi-VN" w:eastAsia="vi-VN"/>
    </w:rPr>
  </w:style>
  <w:style w:type="character" w:customStyle="1" w:styleId="BalloonTextChar">
    <w:name w:val="Balloon Text Char"/>
    <w:basedOn w:val="DefaultParagraphFont"/>
    <w:link w:val="BalloonText"/>
    <w:uiPriority w:val="99"/>
    <w:semiHidden/>
    <w:qFormat/>
    <w:rPr>
      <w:rFonts w:ascii="Segoe UI" w:eastAsia="Calibri" w:hAnsi="Segoe UI" w:cs="Segoe UI"/>
      <w:sz w:val="18"/>
      <w:szCs w:val="18"/>
      <w:lang w:val="vi-VN" w:eastAsia="vi-VN"/>
    </w:rPr>
  </w:style>
  <w:style w:type="character" w:customStyle="1" w:styleId="Heading3Char">
    <w:name w:val="Heading 3 Char"/>
    <w:basedOn w:val="DefaultParagraphFont"/>
    <w:link w:val="Heading3"/>
    <w:qFormat/>
    <w:rPr>
      <w:rFonts w:ascii="Times New Roman" w:eastAsia="Times New Roman" w:hAnsi="Times New Roman" w:cs="Times New Roman"/>
      <w:sz w:val="28"/>
      <w:szCs w:val="28"/>
      <w:lang w:val="vi-VN" w:eastAsia="zh-CN"/>
    </w:rPr>
  </w:style>
  <w:style w:type="character" w:customStyle="1" w:styleId="FootnoteTextChar">
    <w:name w:val="Footnote Text Char"/>
    <w:basedOn w:val="DefaultParagraphFont"/>
    <w:link w:val="FootnoteText"/>
    <w:uiPriority w:val="99"/>
    <w:semiHidden/>
    <w:qFormat/>
    <w:rPr>
      <w:rFonts w:ascii="Times New Roman" w:eastAsia="Calibri" w:hAnsi="Times New Roman" w:cstheme="majorHAnsi"/>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ài liệu" ma:contentTypeID="0x010100D1CE4519B702A44EBE7F6171A35F5DE1" ma:contentTypeVersion="3" ma:contentTypeDescription="Tạo tài liệu mới." ma:contentTypeScope="" ma:versionID="41093eac297d042d4bdcd5ff93557191">
  <xsd:schema xmlns:xsd="http://www.w3.org/2001/XMLSchema" xmlns:xs="http://www.w3.org/2001/XMLSchema" xmlns:p="http://schemas.microsoft.com/office/2006/metadata/properties" xmlns:ns2="6ac5846d-a358-4908-a658-0c33a29db4de" targetNamespace="http://schemas.microsoft.com/office/2006/metadata/properties" ma:root="true" ma:fieldsID="913dd12e50fc52fcfe065ef0b7a0c687" ns2:_="">
    <xsd:import namespace="6ac5846d-a358-4908-a658-0c33a29db4de"/>
    <xsd:element name="properties">
      <xsd:complexType>
        <xsd:sequence>
          <xsd:element name="documentManagement">
            <xsd:complexType>
              <xsd:all>
                <xsd:element ref="ns2:AttachmentName"/>
                <xsd:element ref="ns2:Description0" minOccurs="0"/>
                <xsd:element ref="ns2:Content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5846d-a358-4908-a658-0c33a29db4de" elementFormDefault="qualified">
    <xsd:import namespace="http://schemas.microsoft.com/office/2006/documentManagement/types"/>
    <xsd:import namespace="http://schemas.microsoft.com/office/infopath/2007/PartnerControls"/>
    <xsd:element name="AttachmentName" ma:index="8" ma:displayName="Tên" ma:indexed="true" ma:internalName="AttachmentName">
      <xsd:simpleType>
        <xsd:restriction base="dms:Text"/>
      </xsd:simpleType>
    </xsd:element>
    <xsd:element name="Description0" ma:index="9" nillable="true" ma:displayName="Description" ma:internalName="Description0">
      <xsd:simpleType>
        <xsd:restriction base="dms:Text"/>
      </xsd:simpleType>
    </xsd:element>
    <xsd:element name="ContentType0" ma:index="10" nillable="true" ma:displayName="ContentType" ma:internalName="ContentType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ntentType0 xmlns="6ac5846d-a358-4908-a658-0c33a29db4de" xsi:nil="true"/>
    <Description0 xmlns="6ac5846d-a358-4908-a658-0c33a29db4de" xsi:nil="true"/>
    <AttachmentName xmlns="6ac5846d-a358-4908-a658-0c33a29db4de">3. Dự thảo TT 28052025.docx</AttachmentNam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2DD9C4-309B-40E9-89DA-320A2309698D}">
  <ds:schemaRefs>
    <ds:schemaRef ds:uri="http://schemas.openxmlformats.org/officeDocument/2006/bibliography"/>
  </ds:schemaRefs>
</ds:datastoreItem>
</file>

<file path=customXml/itemProps3.xml><?xml version="1.0" encoding="utf-8"?>
<ds:datastoreItem xmlns:ds="http://schemas.openxmlformats.org/officeDocument/2006/customXml" ds:itemID="{622B64DD-95F9-4392-807F-CFD2366CCD73}"/>
</file>

<file path=customXml/itemProps4.xml><?xml version="1.0" encoding="utf-8"?>
<ds:datastoreItem xmlns:ds="http://schemas.openxmlformats.org/officeDocument/2006/customXml" ds:itemID="{1F07A7C0-31CF-47DE-B7BF-F20B427CC567}"/>
</file>

<file path=customXml/itemProps5.xml><?xml version="1.0" encoding="utf-8"?>
<ds:datastoreItem xmlns:ds="http://schemas.openxmlformats.org/officeDocument/2006/customXml" ds:itemID="{8A06120D-0F2C-4632-82D3-88E46AE4AD6F}"/>
</file>

<file path=docProps/app.xml><?xml version="1.0" encoding="utf-8"?>
<Properties xmlns="http://schemas.openxmlformats.org/officeDocument/2006/extended-properties" xmlns:vt="http://schemas.openxmlformats.org/officeDocument/2006/docPropsVTypes">
  <Template>Normal</Template>
  <TotalTime>49</TotalTime>
  <Pages>4</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Dự thảo TT 28052025.docx</dc:title>
  <dc:creator>DELL</dc:creator>
  <cp:lastModifiedBy>Loan, Tran Thi Loan (CS-TCT)</cp:lastModifiedBy>
  <cp:revision>31</cp:revision>
  <cp:lastPrinted>2025-05-28T08:08:00Z</cp:lastPrinted>
  <dcterms:created xsi:type="dcterms:W3CDTF">2025-05-26T09:02:00Z</dcterms:created>
  <dcterms:modified xsi:type="dcterms:W3CDTF">2025-05-28T08:18:00Z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BE0510AB8E9147A995BFA4E76FBC3665_12</vt:lpwstr>
  </property>
  <property fmtid="{D5CDD505-2E9C-101B-9397-08002B2CF9AE}" pid="4" name="ContentTypeId">
    <vt:lpwstr>0x010100D1CE4519B702A44EBE7F6171A35F5DE1</vt:lpwstr>
  </property>
</Properties>
</file>