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FE65C5" w:rsidRPr="00FE65C5" w14:paraId="3DAF0936" w14:textId="77777777" w:rsidTr="00431BF6">
        <w:tc>
          <w:tcPr>
            <w:tcW w:w="4253" w:type="dxa"/>
          </w:tcPr>
          <w:p w14:paraId="7768F647" w14:textId="592F03D1" w:rsidR="00B53BC1" w:rsidRPr="00FE65C5" w:rsidRDefault="00B53BC1" w:rsidP="00431BF6">
            <w:pPr>
              <w:spacing w:line="240" w:lineRule="auto"/>
              <w:jc w:val="center"/>
              <w:rPr>
                <w:color w:val="000000" w:themeColor="text1"/>
                <w:sz w:val="26"/>
                <w:szCs w:val="26"/>
                <w:lang w:val="en-US"/>
              </w:rPr>
            </w:pPr>
            <w:r w:rsidRPr="00FE65C5">
              <w:rPr>
                <w:color w:val="000000" w:themeColor="text1"/>
                <w:sz w:val="26"/>
                <w:szCs w:val="26"/>
                <w:lang w:val="en-US"/>
              </w:rPr>
              <w:t xml:space="preserve">UBND TỈNH </w:t>
            </w:r>
            <w:r w:rsidR="00301D57">
              <w:rPr>
                <w:color w:val="000000" w:themeColor="text1"/>
                <w:sz w:val="26"/>
                <w:szCs w:val="26"/>
                <w:lang w:val="en-US"/>
              </w:rPr>
              <w:t>LÂM ĐỒNG</w:t>
            </w:r>
          </w:p>
        </w:tc>
        <w:tc>
          <w:tcPr>
            <w:tcW w:w="5670" w:type="dxa"/>
          </w:tcPr>
          <w:p w14:paraId="10BCFFD3" w14:textId="77777777" w:rsidR="00B53BC1" w:rsidRPr="00FE65C5" w:rsidRDefault="00B53BC1" w:rsidP="00431BF6">
            <w:pPr>
              <w:spacing w:line="240" w:lineRule="auto"/>
              <w:jc w:val="center"/>
              <w:rPr>
                <w:b/>
                <w:bCs/>
                <w:color w:val="000000" w:themeColor="text1"/>
                <w:sz w:val="26"/>
                <w:szCs w:val="26"/>
                <w:lang w:val="en-US"/>
              </w:rPr>
            </w:pPr>
            <w:r w:rsidRPr="00FE65C5">
              <w:rPr>
                <w:b/>
                <w:bCs/>
                <w:color w:val="000000" w:themeColor="text1"/>
                <w:sz w:val="26"/>
                <w:szCs w:val="26"/>
                <w:lang w:val="en-US"/>
              </w:rPr>
              <w:t>CỘNG HÒA XÃ HỘI CHỦ NGHĨA VIỆT NAM</w:t>
            </w:r>
          </w:p>
        </w:tc>
      </w:tr>
      <w:tr w:rsidR="00FE65C5" w:rsidRPr="00FE65C5" w14:paraId="4430C3A9" w14:textId="77777777" w:rsidTr="00F812D8">
        <w:trPr>
          <w:trHeight w:val="556"/>
        </w:trPr>
        <w:tc>
          <w:tcPr>
            <w:tcW w:w="4253" w:type="dxa"/>
          </w:tcPr>
          <w:p w14:paraId="7F0121FF" w14:textId="1D347B3D" w:rsidR="00B53BC1" w:rsidRPr="00FE65C5" w:rsidRDefault="00F812D8" w:rsidP="00431BF6">
            <w:pPr>
              <w:spacing w:line="240" w:lineRule="auto"/>
              <w:jc w:val="center"/>
              <w:rPr>
                <w:b/>
                <w:bCs/>
                <w:color w:val="000000" w:themeColor="text1"/>
                <w:sz w:val="26"/>
                <w:szCs w:val="26"/>
              </w:rPr>
            </w:pPr>
            <w:r>
              <w:rPr>
                <w:noProof/>
                <w:sz w:val="26"/>
                <w:szCs w:val="26"/>
                <w:lang w:val="en-US"/>
              </w:rPr>
              <mc:AlternateContent>
                <mc:Choice Requires="wps">
                  <w:drawing>
                    <wp:anchor distT="0" distB="0" distL="114300" distR="114300" simplePos="0" relativeHeight="251663360" behindDoc="0" locked="0" layoutInCell="1" allowOverlap="1" wp14:anchorId="45FB9336" wp14:editId="0E995DFE">
                      <wp:simplePos x="0" y="0"/>
                      <wp:positionH relativeFrom="column">
                        <wp:posOffset>868680</wp:posOffset>
                      </wp:positionH>
                      <wp:positionV relativeFrom="paragraph">
                        <wp:posOffset>267970</wp:posOffset>
                      </wp:positionV>
                      <wp:extent cx="732790" cy="0"/>
                      <wp:effectExtent l="6350" t="11430" r="13335" b="7620"/>
                      <wp:wrapNone/>
                      <wp:docPr id="148681393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16400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1pt" to="126.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" strokeweight="1pt"/>
                  </w:pict>
                </mc:Fallback>
              </mc:AlternateContent>
            </w:r>
            <w:r w:rsidR="00B53BC1" w:rsidRPr="00FE65C5">
              <w:rPr>
                <w:b/>
                <w:bCs/>
                <w:color w:val="000000" w:themeColor="text1"/>
                <w:sz w:val="26"/>
                <w:szCs w:val="26"/>
              </w:rPr>
              <w:t>BAN QLDA GIAO THÔNG</w:t>
            </w:r>
          </w:p>
        </w:tc>
        <w:tc>
          <w:tcPr>
            <w:tcW w:w="5670" w:type="dxa"/>
          </w:tcPr>
          <w:p w14:paraId="69823B7B" w14:textId="53C28921" w:rsidR="00B53BC1" w:rsidRPr="00FE65C5" w:rsidRDefault="00F812D8" w:rsidP="00431BF6">
            <w:pPr>
              <w:spacing w:line="240" w:lineRule="auto"/>
              <w:jc w:val="center"/>
              <w:rPr>
                <w:b/>
                <w:bCs/>
                <w:color w:val="000000" w:themeColor="text1"/>
                <w:sz w:val="26"/>
                <w:szCs w:val="26"/>
              </w:rPr>
            </w:pPr>
            <w:r>
              <w:rPr>
                <w:b/>
                <w:noProof/>
                <w:sz w:val="28"/>
                <w:szCs w:val="28"/>
                <w:lang w:val="en-US"/>
              </w:rPr>
              <mc:AlternateContent>
                <mc:Choice Requires="wps">
                  <w:drawing>
                    <wp:anchor distT="0" distB="0" distL="114300" distR="114300" simplePos="0" relativeHeight="251662336" behindDoc="0" locked="0" layoutInCell="1" allowOverlap="1" wp14:anchorId="5F4B4BCB" wp14:editId="1BD3C58A">
                      <wp:simplePos x="0" y="0"/>
                      <wp:positionH relativeFrom="column">
                        <wp:posOffset>646430</wp:posOffset>
                      </wp:positionH>
                      <wp:positionV relativeFrom="paragraph">
                        <wp:posOffset>266065</wp:posOffset>
                      </wp:positionV>
                      <wp:extent cx="2221865" cy="0"/>
                      <wp:effectExtent l="10160" t="10160" r="15875" b="8890"/>
                      <wp:wrapNone/>
                      <wp:docPr id="47939527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18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84CB4"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20.95pt" to="225.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" strokeweight="1pt"/>
                  </w:pict>
                </mc:Fallback>
              </mc:AlternateContent>
            </w:r>
            <w:r w:rsidR="00B53BC1" w:rsidRPr="00FE65C5">
              <w:rPr>
                <w:b/>
                <w:bCs/>
                <w:color w:val="000000" w:themeColor="text1"/>
                <w:sz w:val="28"/>
                <w:szCs w:val="28"/>
              </w:rPr>
              <w:t>Độc lập – Tự do – Hạnh phúc</w:t>
            </w:r>
          </w:p>
        </w:tc>
      </w:tr>
      <w:tr w:rsidR="00FE65C5" w:rsidRPr="00FE65C5" w14:paraId="5C3E4210" w14:textId="77777777" w:rsidTr="00F812D8">
        <w:trPr>
          <w:trHeight w:val="1712"/>
        </w:trPr>
        <w:tc>
          <w:tcPr>
            <w:tcW w:w="4253" w:type="dxa"/>
          </w:tcPr>
          <w:p w14:paraId="0CF211D9" w14:textId="7DC573DA" w:rsidR="00B53BC1" w:rsidRPr="00FE65C5" w:rsidRDefault="00B53BC1" w:rsidP="00877C22">
            <w:pPr>
              <w:spacing w:line="276" w:lineRule="auto"/>
              <w:jc w:val="center"/>
              <w:rPr>
                <w:color w:val="000000" w:themeColor="text1"/>
                <w:sz w:val="26"/>
                <w:szCs w:val="26"/>
                <w:lang w:val="en-US"/>
              </w:rPr>
            </w:pPr>
            <w:r w:rsidRPr="00FE65C5">
              <w:rPr>
                <w:color w:val="000000" w:themeColor="text1"/>
                <w:sz w:val="26"/>
                <w:szCs w:val="26"/>
                <w:lang w:val="en-US"/>
              </w:rPr>
              <w:t xml:space="preserve">Số:       </w:t>
            </w:r>
            <w:r w:rsidR="00301D57">
              <w:rPr>
                <w:color w:val="000000" w:themeColor="text1"/>
                <w:sz w:val="26"/>
                <w:szCs w:val="26"/>
                <w:lang w:val="en-US"/>
              </w:rPr>
              <w:t xml:space="preserve"> </w:t>
            </w:r>
            <w:r w:rsidRPr="00FE65C5">
              <w:rPr>
                <w:color w:val="000000" w:themeColor="text1"/>
                <w:sz w:val="26"/>
                <w:szCs w:val="26"/>
                <w:lang w:val="en-US"/>
              </w:rPr>
              <w:t>/</w:t>
            </w:r>
            <w:r w:rsidR="00301D57">
              <w:rPr>
                <w:color w:val="000000" w:themeColor="text1"/>
                <w:sz w:val="26"/>
                <w:szCs w:val="26"/>
                <w:lang w:val="en-US"/>
              </w:rPr>
              <w:t>BQLDA-TCKH</w:t>
            </w:r>
          </w:p>
          <w:p w14:paraId="1DCF0C67" w14:textId="347FF6AB" w:rsidR="00B53BC1" w:rsidRPr="00F812D8" w:rsidRDefault="00B53BC1" w:rsidP="00C54192">
            <w:pPr>
              <w:spacing w:after="120" w:line="240" w:lineRule="auto"/>
              <w:jc w:val="both"/>
              <w:rPr>
                <w:color w:val="000000" w:themeColor="text1"/>
                <w:spacing w:val="-6"/>
                <w:sz w:val="26"/>
                <w:szCs w:val="26"/>
                <w:lang w:val="en-US"/>
              </w:rPr>
            </w:pPr>
            <w:r w:rsidRPr="00F812D8">
              <w:rPr>
                <w:color w:val="000000" w:themeColor="text1"/>
                <w:spacing w:val="-6"/>
                <w:sz w:val="26"/>
                <w:szCs w:val="26"/>
                <w:lang w:val="en-US"/>
              </w:rPr>
              <w:t>V</w:t>
            </w:r>
            <w:r w:rsidR="00B25AC0">
              <w:rPr>
                <w:color w:val="000000" w:themeColor="text1"/>
                <w:spacing w:val="-6"/>
                <w:sz w:val="26"/>
                <w:szCs w:val="26"/>
                <w:lang w:val="en-US"/>
              </w:rPr>
              <w:t>/v</w:t>
            </w:r>
            <w:r w:rsidRPr="00F812D8">
              <w:rPr>
                <w:color w:val="000000" w:themeColor="text1"/>
                <w:spacing w:val="-6"/>
                <w:sz w:val="26"/>
                <w:szCs w:val="26"/>
                <w:lang w:val="en-US"/>
              </w:rPr>
              <w:t xml:space="preserve"> </w:t>
            </w:r>
            <w:r w:rsidR="00A138DD" w:rsidRPr="00F812D8">
              <w:rPr>
                <w:color w:val="000000" w:themeColor="text1"/>
                <w:spacing w:val="-6"/>
                <w:sz w:val="26"/>
                <w:szCs w:val="26"/>
                <w:lang w:val="en-US"/>
              </w:rPr>
              <w:t>báo cáo</w:t>
            </w:r>
            <w:r w:rsidR="000A6919" w:rsidRPr="00F812D8">
              <w:rPr>
                <w:color w:val="000000" w:themeColor="text1"/>
                <w:spacing w:val="-6"/>
                <w:sz w:val="26"/>
                <w:szCs w:val="26"/>
                <w:lang w:val="en-US"/>
              </w:rPr>
              <w:t xml:space="preserve"> phương án xử lý tình huống tại thời điểm đóng thầu</w:t>
            </w:r>
            <w:r w:rsidR="0071139D">
              <w:rPr>
                <w:color w:val="000000" w:themeColor="text1"/>
                <w:spacing w:val="-6"/>
                <w:sz w:val="26"/>
                <w:szCs w:val="26"/>
                <w:lang w:val="en-US"/>
              </w:rPr>
              <w:t xml:space="preserve"> lựa chọn Nhà đầu tư</w:t>
            </w:r>
            <w:r w:rsidR="000A6919" w:rsidRPr="00F812D8">
              <w:rPr>
                <w:color w:val="000000" w:themeColor="text1"/>
                <w:spacing w:val="-6"/>
                <w:sz w:val="26"/>
                <w:szCs w:val="26"/>
                <w:lang w:val="en-US"/>
              </w:rPr>
              <w:t xml:space="preserve"> </w:t>
            </w:r>
            <w:r w:rsidR="00E80DA0">
              <w:rPr>
                <w:color w:val="000000" w:themeColor="text1"/>
                <w:spacing w:val="-6"/>
                <w:sz w:val="26"/>
                <w:szCs w:val="26"/>
                <w:lang w:val="en-US"/>
              </w:rPr>
              <w:t>d</w:t>
            </w:r>
            <w:r w:rsidR="001E5F60" w:rsidRPr="00F812D8">
              <w:rPr>
                <w:color w:val="000000" w:themeColor="text1"/>
                <w:spacing w:val="-6"/>
                <w:sz w:val="26"/>
                <w:szCs w:val="26"/>
                <w:lang w:val="en-US"/>
              </w:rPr>
              <w:t xml:space="preserve">ự án </w:t>
            </w:r>
            <w:r w:rsidR="00C54192" w:rsidRPr="00F812D8">
              <w:rPr>
                <w:color w:val="000000" w:themeColor="text1"/>
                <w:spacing w:val="-6"/>
                <w:sz w:val="26"/>
                <w:szCs w:val="26"/>
                <w:lang w:val="en-US"/>
              </w:rPr>
              <w:t>Đầu tư xây dựng đường bộ cao tốc Bảo Lộc – Liên Khương theo phương thức đối tác công tư (giai đoạn 1)</w:t>
            </w:r>
            <w:r w:rsidR="00667C2E" w:rsidRPr="00F812D8">
              <w:rPr>
                <w:color w:val="000000" w:themeColor="text1"/>
                <w:spacing w:val="-6"/>
                <w:sz w:val="26"/>
                <w:szCs w:val="26"/>
                <w:lang w:val="en-US"/>
              </w:rPr>
              <w:t>.</w:t>
            </w:r>
          </w:p>
        </w:tc>
        <w:tc>
          <w:tcPr>
            <w:tcW w:w="5670" w:type="dxa"/>
          </w:tcPr>
          <w:p w14:paraId="2B1B9560" w14:textId="5D78941E" w:rsidR="00B53BC1" w:rsidRPr="00FE65C5" w:rsidRDefault="001165E1" w:rsidP="000A6919">
            <w:pPr>
              <w:spacing w:line="240" w:lineRule="auto"/>
              <w:jc w:val="center"/>
              <w:rPr>
                <w:i/>
                <w:iCs/>
                <w:color w:val="000000" w:themeColor="text1"/>
                <w:sz w:val="26"/>
                <w:szCs w:val="26"/>
                <w:lang w:val="en-US"/>
              </w:rPr>
            </w:pPr>
            <w:r>
              <w:rPr>
                <w:i/>
                <w:iCs/>
                <w:color w:val="000000" w:themeColor="text1"/>
                <w:sz w:val="26"/>
                <w:szCs w:val="26"/>
                <w:lang w:val="en-US"/>
              </w:rPr>
              <w:t>Lâm Đồng</w:t>
            </w:r>
            <w:r w:rsidR="00B53BC1" w:rsidRPr="00FE65C5">
              <w:rPr>
                <w:i/>
                <w:iCs/>
                <w:color w:val="000000" w:themeColor="text1"/>
                <w:sz w:val="26"/>
                <w:szCs w:val="26"/>
              </w:rPr>
              <w:t xml:space="preserve">, ngày </w:t>
            </w:r>
            <w:r w:rsidR="00B53BC1" w:rsidRPr="00FE65C5">
              <w:rPr>
                <w:i/>
                <w:iCs/>
                <w:color w:val="000000" w:themeColor="text1"/>
                <w:sz w:val="26"/>
                <w:szCs w:val="26"/>
                <w:lang w:val="en-US"/>
              </w:rPr>
              <w:t xml:space="preserve">     </w:t>
            </w:r>
            <w:r w:rsidR="00B53BC1" w:rsidRPr="00FE65C5">
              <w:rPr>
                <w:i/>
                <w:iCs/>
                <w:color w:val="000000" w:themeColor="text1"/>
                <w:sz w:val="26"/>
                <w:szCs w:val="26"/>
              </w:rPr>
              <w:t xml:space="preserve"> tháng</w:t>
            </w:r>
            <w:r w:rsidR="000A6919" w:rsidRPr="00FE65C5">
              <w:rPr>
                <w:i/>
                <w:iCs/>
                <w:color w:val="000000" w:themeColor="text1"/>
                <w:sz w:val="26"/>
                <w:szCs w:val="26"/>
                <w:lang w:val="en-US"/>
              </w:rPr>
              <w:t xml:space="preserve"> </w:t>
            </w:r>
            <w:r>
              <w:rPr>
                <w:i/>
                <w:iCs/>
                <w:color w:val="000000" w:themeColor="text1"/>
                <w:sz w:val="26"/>
                <w:szCs w:val="26"/>
                <w:lang w:val="en-US"/>
              </w:rPr>
              <w:t>6</w:t>
            </w:r>
            <w:r w:rsidR="00B53BC1" w:rsidRPr="00FE65C5">
              <w:rPr>
                <w:i/>
                <w:iCs/>
                <w:color w:val="000000" w:themeColor="text1"/>
                <w:sz w:val="26"/>
                <w:szCs w:val="26"/>
              </w:rPr>
              <w:t xml:space="preserve"> năm 202</w:t>
            </w:r>
            <w:r w:rsidR="001E5F60" w:rsidRPr="00FE65C5">
              <w:rPr>
                <w:i/>
                <w:iCs/>
                <w:color w:val="000000" w:themeColor="text1"/>
                <w:sz w:val="26"/>
                <w:szCs w:val="26"/>
                <w:lang w:val="en-US"/>
              </w:rPr>
              <w:t>5</w:t>
            </w:r>
          </w:p>
        </w:tc>
      </w:tr>
    </w:tbl>
    <w:p w14:paraId="308A3AD9" w14:textId="724424E6" w:rsidR="00BE1809" w:rsidRPr="00FE65C5" w:rsidRDefault="00B53BC1" w:rsidP="003622A2">
      <w:pPr>
        <w:spacing w:before="240" w:after="240" w:line="240" w:lineRule="auto"/>
        <w:jc w:val="center"/>
        <w:rPr>
          <w:color w:val="000000" w:themeColor="text1"/>
          <w:sz w:val="28"/>
          <w:szCs w:val="28"/>
          <w:lang w:val="en-US"/>
        </w:rPr>
      </w:pPr>
      <w:r w:rsidRPr="00FE65C5">
        <w:rPr>
          <w:color w:val="000000" w:themeColor="text1"/>
          <w:sz w:val="28"/>
          <w:szCs w:val="28"/>
          <w:lang w:val="en-US"/>
        </w:rPr>
        <w:t>Kính gử</w:t>
      </w:r>
      <w:r w:rsidR="00DF2F61" w:rsidRPr="00FE65C5">
        <w:rPr>
          <w:color w:val="000000" w:themeColor="text1"/>
          <w:sz w:val="28"/>
          <w:szCs w:val="28"/>
          <w:lang w:val="en-US"/>
        </w:rPr>
        <w:t>i:</w:t>
      </w:r>
      <w:r w:rsidR="00217053" w:rsidRPr="00FE65C5">
        <w:rPr>
          <w:color w:val="000000" w:themeColor="text1"/>
          <w:sz w:val="28"/>
          <w:szCs w:val="28"/>
          <w:lang w:val="en-US"/>
        </w:rPr>
        <w:t xml:space="preserve"> </w:t>
      </w:r>
      <w:r w:rsidR="00BE1809" w:rsidRPr="00FE65C5">
        <w:rPr>
          <w:color w:val="000000" w:themeColor="text1"/>
          <w:sz w:val="28"/>
          <w:szCs w:val="28"/>
          <w:lang w:val="en-US"/>
        </w:rPr>
        <w:t>Ủy ban nhân dân tỉ</w:t>
      </w:r>
      <w:r w:rsidR="001C74D3" w:rsidRPr="00FE65C5">
        <w:rPr>
          <w:color w:val="000000" w:themeColor="text1"/>
          <w:sz w:val="28"/>
          <w:szCs w:val="28"/>
          <w:lang w:val="en-US"/>
        </w:rPr>
        <w:t>nh</w:t>
      </w:r>
      <w:r w:rsidR="001165E1">
        <w:rPr>
          <w:color w:val="000000" w:themeColor="text1"/>
          <w:sz w:val="28"/>
          <w:szCs w:val="28"/>
          <w:lang w:val="en-US"/>
        </w:rPr>
        <w:t xml:space="preserve"> Lâm Đồng</w:t>
      </w:r>
      <w:r w:rsidR="004B6C21" w:rsidRPr="00FE65C5">
        <w:rPr>
          <w:color w:val="000000" w:themeColor="text1"/>
          <w:sz w:val="28"/>
          <w:szCs w:val="28"/>
          <w:lang w:val="en-US"/>
        </w:rPr>
        <w:t>.</w:t>
      </w:r>
    </w:p>
    <w:p w14:paraId="223FB69E" w14:textId="77777777" w:rsidR="001E5F60" w:rsidRPr="00577714" w:rsidRDefault="001E5F60" w:rsidP="00577714">
      <w:pPr>
        <w:tabs>
          <w:tab w:val="left" w:pos="1080"/>
        </w:tabs>
        <w:spacing w:before="120" w:after="120" w:line="252" w:lineRule="auto"/>
        <w:ind w:firstLine="720"/>
        <w:jc w:val="both"/>
        <w:rPr>
          <w:rFonts w:asciiTheme="majorHAnsi" w:hAnsiTheme="majorHAnsi" w:cstheme="majorHAnsi"/>
          <w:i/>
          <w:iCs/>
          <w:color w:val="000000" w:themeColor="text1"/>
          <w:sz w:val="28"/>
          <w:szCs w:val="28"/>
          <w:lang w:val="en-US"/>
        </w:rPr>
      </w:pPr>
      <w:r w:rsidRPr="00577714">
        <w:rPr>
          <w:rFonts w:asciiTheme="majorHAnsi" w:hAnsiTheme="majorHAnsi" w:cstheme="majorHAnsi"/>
          <w:i/>
          <w:iCs/>
          <w:color w:val="000000" w:themeColor="text1"/>
          <w:sz w:val="28"/>
          <w:szCs w:val="28"/>
          <w:lang w:val="en-US"/>
        </w:rPr>
        <w:t>Căn cứ Luật Đấu thầu số 22/2013/QH13 ngày 23/06/2023;</w:t>
      </w:r>
    </w:p>
    <w:p w14:paraId="014D8420" w14:textId="77777777" w:rsidR="001E5F60" w:rsidRPr="00577714" w:rsidRDefault="001E5F60" w:rsidP="00577714">
      <w:pPr>
        <w:tabs>
          <w:tab w:val="left" w:pos="1080"/>
        </w:tabs>
        <w:spacing w:before="120" w:after="120" w:line="252" w:lineRule="auto"/>
        <w:ind w:firstLine="720"/>
        <w:jc w:val="both"/>
        <w:rPr>
          <w:rFonts w:asciiTheme="majorHAnsi" w:hAnsiTheme="majorHAnsi" w:cstheme="majorHAnsi"/>
          <w:i/>
          <w:iCs/>
          <w:color w:val="000000" w:themeColor="text1"/>
          <w:sz w:val="28"/>
          <w:szCs w:val="28"/>
          <w:lang w:val="en-US"/>
        </w:rPr>
      </w:pPr>
      <w:r w:rsidRPr="00577714">
        <w:rPr>
          <w:rFonts w:asciiTheme="majorHAnsi" w:hAnsiTheme="majorHAnsi" w:cstheme="majorHAnsi"/>
          <w:i/>
          <w:iCs/>
          <w:color w:val="000000" w:themeColor="text1"/>
          <w:sz w:val="28"/>
          <w:szCs w:val="28"/>
          <w:lang w:val="en-US"/>
        </w:rPr>
        <w:t>Căn cứ Luật Đầu tư theo phương thức đối tác công tư số 64/2020/QH14 ngày 18/6/2020;</w:t>
      </w:r>
    </w:p>
    <w:p w14:paraId="15D25FFF" w14:textId="77777777" w:rsidR="001E5F60" w:rsidRPr="00577714" w:rsidRDefault="001E5F60" w:rsidP="00577714">
      <w:pPr>
        <w:tabs>
          <w:tab w:val="left" w:pos="1080"/>
        </w:tabs>
        <w:spacing w:before="120" w:after="120" w:line="252" w:lineRule="auto"/>
        <w:ind w:firstLine="720"/>
        <w:jc w:val="both"/>
        <w:rPr>
          <w:rFonts w:asciiTheme="majorHAnsi" w:hAnsiTheme="majorHAnsi" w:cstheme="majorHAnsi"/>
          <w:i/>
          <w:iCs/>
          <w:color w:val="000000" w:themeColor="text1"/>
          <w:sz w:val="28"/>
          <w:szCs w:val="28"/>
          <w:lang w:val="en-US"/>
        </w:rPr>
      </w:pPr>
      <w:r w:rsidRPr="00577714">
        <w:rPr>
          <w:rFonts w:asciiTheme="majorHAnsi" w:hAnsiTheme="majorHAnsi" w:cstheme="majorHAnsi"/>
          <w:i/>
          <w:iCs/>
          <w:color w:val="000000" w:themeColor="text1"/>
          <w:sz w:val="28"/>
          <w:szCs w:val="28"/>
          <w:lang w:val="en-US"/>
        </w:rPr>
        <w:t>Căn cứ Luật sửa đổi, bổ sung một số điều của Luật Quy hoạch, Luật Đầu tư, Luật đầu tư theo phương thức đối tác công tư và Luật Đấu thầu số 57/2024/QH15 ngày 29/11/2024;</w:t>
      </w:r>
    </w:p>
    <w:p w14:paraId="42B97F19" w14:textId="77777777" w:rsidR="001E5F60" w:rsidRPr="00577714" w:rsidRDefault="001E5F60" w:rsidP="00577714">
      <w:pPr>
        <w:tabs>
          <w:tab w:val="left" w:pos="1080"/>
        </w:tabs>
        <w:spacing w:before="120" w:after="120" w:line="252" w:lineRule="auto"/>
        <w:ind w:firstLine="720"/>
        <w:jc w:val="both"/>
        <w:rPr>
          <w:rFonts w:asciiTheme="majorHAnsi" w:hAnsiTheme="majorHAnsi" w:cstheme="majorHAnsi"/>
          <w:i/>
          <w:iCs/>
          <w:color w:val="000000" w:themeColor="text1"/>
          <w:spacing w:val="-6"/>
          <w:sz w:val="28"/>
          <w:szCs w:val="28"/>
          <w:lang w:val="en-US"/>
        </w:rPr>
      </w:pPr>
      <w:r w:rsidRPr="00577714">
        <w:rPr>
          <w:rFonts w:asciiTheme="majorHAnsi" w:hAnsiTheme="majorHAnsi" w:cstheme="majorHAnsi"/>
          <w:i/>
          <w:iCs/>
          <w:color w:val="000000" w:themeColor="text1"/>
          <w:spacing w:val="-6"/>
          <w:sz w:val="28"/>
          <w:szCs w:val="28"/>
          <w:lang w:val="en-US"/>
        </w:rPr>
        <w:t xml:space="preserve">Căn cứ Nghị định số 35/2021/NĐ-CP ngày 29/3/2021 của Chính phủ quy định chi tiết và hướng dẫn thi hành Luật Đầu tư theo phương thức đối tác công tư; </w:t>
      </w:r>
    </w:p>
    <w:p w14:paraId="3B7571EF" w14:textId="633422C6" w:rsidR="00102DDB" w:rsidRDefault="001E5F60" w:rsidP="00577714">
      <w:pPr>
        <w:tabs>
          <w:tab w:val="left" w:pos="1080"/>
        </w:tabs>
        <w:spacing w:before="120" w:after="120" w:line="252" w:lineRule="auto"/>
        <w:ind w:firstLine="720"/>
        <w:jc w:val="both"/>
        <w:rPr>
          <w:rFonts w:asciiTheme="majorHAnsi" w:hAnsiTheme="majorHAnsi" w:cstheme="majorHAnsi"/>
          <w:i/>
          <w:iCs/>
          <w:sz w:val="28"/>
          <w:szCs w:val="28"/>
          <w:lang w:val="en-US"/>
        </w:rPr>
      </w:pPr>
      <w:r w:rsidRPr="00577714">
        <w:rPr>
          <w:rFonts w:asciiTheme="majorHAnsi" w:hAnsiTheme="majorHAnsi" w:cstheme="majorHAnsi"/>
          <w:i/>
          <w:iCs/>
          <w:color w:val="000000" w:themeColor="text1"/>
          <w:sz w:val="28"/>
          <w:szCs w:val="28"/>
          <w:lang w:val="en-US"/>
        </w:rPr>
        <w:t xml:space="preserve">Căn cứ Nghị định số 71/2025/NĐ-CP ngày 28/3/2025 của Chính phủ về việc sửa đổi, bổ sung một số điều của Nghị định số 35/2021/NĐ-CP ngày 29/3/2021 của Chính phủ quy định chi tiết và hướng dẫn thi hành Luật Đầu tư theo phương </w:t>
      </w:r>
      <w:r w:rsidRPr="00577714">
        <w:rPr>
          <w:rFonts w:asciiTheme="majorHAnsi" w:hAnsiTheme="majorHAnsi" w:cstheme="majorHAnsi"/>
          <w:i/>
          <w:iCs/>
          <w:sz w:val="28"/>
          <w:szCs w:val="28"/>
          <w:lang w:val="en-US"/>
        </w:rPr>
        <w:t>thức đối tác công tư</w:t>
      </w:r>
      <w:r w:rsidR="001A6608" w:rsidRPr="00577714">
        <w:rPr>
          <w:rFonts w:asciiTheme="majorHAnsi" w:hAnsiTheme="majorHAnsi" w:cstheme="majorHAnsi"/>
          <w:i/>
          <w:iCs/>
          <w:sz w:val="28"/>
          <w:szCs w:val="28"/>
          <w:lang w:val="en-US"/>
        </w:rPr>
        <w:t>;</w:t>
      </w:r>
    </w:p>
    <w:p w14:paraId="1763FD50" w14:textId="468C7306" w:rsidR="00A31237" w:rsidRPr="00577714" w:rsidRDefault="00A31237" w:rsidP="00577714">
      <w:pPr>
        <w:tabs>
          <w:tab w:val="left" w:pos="1080"/>
        </w:tabs>
        <w:spacing w:before="120" w:after="120" w:line="252" w:lineRule="auto"/>
        <w:ind w:firstLine="720"/>
        <w:jc w:val="both"/>
        <w:rPr>
          <w:rFonts w:asciiTheme="majorHAnsi" w:hAnsiTheme="majorHAnsi" w:cstheme="majorHAnsi"/>
          <w:i/>
          <w:iCs/>
          <w:sz w:val="28"/>
          <w:szCs w:val="28"/>
          <w:lang w:val="en-US"/>
        </w:rPr>
      </w:pPr>
      <w:r w:rsidRPr="00A31237">
        <w:rPr>
          <w:rFonts w:asciiTheme="majorHAnsi" w:hAnsiTheme="majorHAnsi" w:cstheme="majorHAnsi"/>
          <w:i/>
          <w:iCs/>
          <w:sz w:val="28"/>
          <w:szCs w:val="28"/>
          <w:lang w:val="en-US"/>
        </w:rPr>
        <w:t>Căn cứ Quyết định số 669/QĐ-UBND ngày 31/3/2025</w:t>
      </w:r>
      <w:r w:rsidRPr="00A31237">
        <w:rPr>
          <w:rFonts w:asciiTheme="majorHAnsi" w:hAnsiTheme="majorHAnsi" w:cstheme="majorHAnsi"/>
          <w:i/>
          <w:iCs/>
          <w:sz w:val="28"/>
          <w:szCs w:val="28"/>
          <w:lang w:val="en-US"/>
        </w:rPr>
        <w:t xml:space="preserve"> </w:t>
      </w:r>
      <w:r w:rsidRPr="00A31237">
        <w:rPr>
          <w:rFonts w:asciiTheme="majorHAnsi" w:hAnsiTheme="majorHAnsi" w:cstheme="majorHAnsi"/>
          <w:i/>
          <w:iCs/>
          <w:sz w:val="28"/>
          <w:szCs w:val="28"/>
          <w:lang w:val="en-US"/>
        </w:rPr>
        <w:t>của Ủy ban nhân dân tỉnh Lâm Đồng về việc phê duyệt dự Đầu tư xây dựng đường bộ cao tốc Bảo Lộc – Liên Khương theo phương thức đối tác công tư (giai đoạn 1);</w:t>
      </w:r>
    </w:p>
    <w:p w14:paraId="0DB8BCD0" w14:textId="7983EEBE" w:rsidR="000A6919" w:rsidRPr="00577714" w:rsidRDefault="000A6919" w:rsidP="00577714">
      <w:pPr>
        <w:pStyle w:val="BodyText2"/>
        <w:spacing w:before="120" w:line="247" w:lineRule="auto"/>
        <w:ind w:firstLine="567"/>
        <w:jc w:val="both"/>
        <w:rPr>
          <w:rFonts w:asciiTheme="majorHAnsi" w:eastAsia="Times New Roman" w:hAnsiTheme="majorHAnsi" w:cstheme="majorHAnsi"/>
          <w:i/>
          <w:iCs/>
          <w:sz w:val="28"/>
          <w:szCs w:val="28"/>
          <w:lang w:val="es-ES"/>
        </w:rPr>
      </w:pPr>
      <w:r w:rsidRPr="00577714">
        <w:rPr>
          <w:rFonts w:asciiTheme="majorHAnsi" w:eastAsia="Times New Roman" w:hAnsiTheme="majorHAnsi" w:cstheme="majorHAnsi"/>
          <w:i/>
          <w:iCs/>
          <w:sz w:val="28"/>
          <w:szCs w:val="28"/>
          <w:lang w:val="es-ES"/>
        </w:rPr>
        <w:t xml:space="preserve">Căn cứ Quyết định </w:t>
      </w:r>
      <w:r w:rsidR="009247A6" w:rsidRPr="00577714">
        <w:rPr>
          <w:rFonts w:asciiTheme="majorHAnsi" w:eastAsia="Times New Roman" w:hAnsiTheme="majorHAnsi" w:cstheme="majorHAnsi"/>
          <w:i/>
          <w:iCs/>
          <w:sz w:val="28"/>
          <w:szCs w:val="28"/>
          <w:lang w:val="es-ES"/>
        </w:rPr>
        <w:t>967</w:t>
      </w:r>
      <w:r w:rsidRPr="00577714">
        <w:rPr>
          <w:rFonts w:asciiTheme="majorHAnsi" w:eastAsia="Times New Roman" w:hAnsiTheme="majorHAnsi" w:cstheme="majorHAnsi"/>
          <w:i/>
          <w:iCs/>
          <w:sz w:val="28"/>
          <w:szCs w:val="28"/>
          <w:lang w:val="es-ES"/>
        </w:rPr>
        <w:t xml:space="preserve">/QĐ-UBND ngày </w:t>
      </w:r>
      <w:r w:rsidR="009247A6" w:rsidRPr="00577714">
        <w:rPr>
          <w:rFonts w:asciiTheme="majorHAnsi" w:eastAsia="Times New Roman" w:hAnsiTheme="majorHAnsi" w:cstheme="majorHAnsi"/>
          <w:i/>
          <w:iCs/>
          <w:sz w:val="28"/>
          <w:szCs w:val="28"/>
          <w:lang w:val="es-ES"/>
        </w:rPr>
        <w:t>09</w:t>
      </w:r>
      <w:r w:rsidRPr="00577714">
        <w:rPr>
          <w:rFonts w:asciiTheme="majorHAnsi" w:eastAsia="Times New Roman" w:hAnsiTheme="majorHAnsi" w:cstheme="majorHAnsi"/>
          <w:i/>
          <w:iCs/>
          <w:sz w:val="28"/>
          <w:szCs w:val="28"/>
          <w:lang w:val="es-ES"/>
        </w:rPr>
        <w:t>/</w:t>
      </w:r>
      <w:r w:rsidR="009247A6" w:rsidRPr="00577714">
        <w:rPr>
          <w:rFonts w:asciiTheme="majorHAnsi" w:eastAsia="Times New Roman" w:hAnsiTheme="majorHAnsi" w:cstheme="majorHAnsi"/>
          <w:i/>
          <w:iCs/>
          <w:sz w:val="28"/>
          <w:szCs w:val="28"/>
          <w:lang w:val="es-ES"/>
        </w:rPr>
        <w:t>5</w:t>
      </w:r>
      <w:r w:rsidRPr="00577714">
        <w:rPr>
          <w:rFonts w:asciiTheme="majorHAnsi" w:eastAsia="Times New Roman" w:hAnsiTheme="majorHAnsi" w:cstheme="majorHAnsi"/>
          <w:i/>
          <w:iCs/>
          <w:sz w:val="28"/>
          <w:szCs w:val="28"/>
          <w:lang w:val="es-ES"/>
        </w:rPr>
        <w:t xml:space="preserve">/2025 của Ủy ban nhân dân tỉnh </w:t>
      </w:r>
      <w:r w:rsidR="009247A6" w:rsidRPr="00577714">
        <w:rPr>
          <w:rFonts w:asciiTheme="majorHAnsi" w:eastAsia="Times New Roman" w:hAnsiTheme="majorHAnsi" w:cstheme="majorHAnsi"/>
          <w:i/>
          <w:iCs/>
          <w:sz w:val="28"/>
          <w:szCs w:val="28"/>
          <w:lang w:val="es-ES"/>
        </w:rPr>
        <w:t>Lâm Đồng</w:t>
      </w:r>
      <w:r w:rsidRPr="00577714">
        <w:rPr>
          <w:rFonts w:asciiTheme="majorHAnsi" w:eastAsia="Times New Roman" w:hAnsiTheme="majorHAnsi" w:cstheme="majorHAnsi"/>
          <w:i/>
          <w:iCs/>
          <w:sz w:val="28"/>
          <w:szCs w:val="28"/>
          <w:lang w:val="es-ES"/>
        </w:rPr>
        <w:t xml:space="preserve"> về việc phê duyệt Hồ sơ mời thầu lựa chọn nhà đầu tư thuộc </w:t>
      </w:r>
      <w:r w:rsidR="009247A6" w:rsidRPr="00577714">
        <w:rPr>
          <w:rFonts w:asciiTheme="majorHAnsi" w:eastAsia="Times New Roman" w:hAnsiTheme="majorHAnsi" w:cstheme="majorHAnsi"/>
          <w:i/>
          <w:iCs/>
          <w:sz w:val="28"/>
          <w:szCs w:val="28"/>
          <w:lang w:val="es-ES"/>
        </w:rPr>
        <w:t>Dự án Đầu tư xây dựng đường bộ cao tốc Bảo Lộc – Liên Khương theo phương thức đối tác công tư (giai đoạn 1)</w:t>
      </w:r>
      <w:r w:rsidRPr="00577714">
        <w:rPr>
          <w:rFonts w:asciiTheme="majorHAnsi" w:eastAsia="Times New Roman" w:hAnsiTheme="majorHAnsi" w:cstheme="majorHAnsi"/>
          <w:i/>
          <w:iCs/>
          <w:sz w:val="28"/>
          <w:szCs w:val="28"/>
          <w:lang w:val="es-ES"/>
        </w:rPr>
        <w:t>;</w:t>
      </w:r>
    </w:p>
    <w:p w14:paraId="4B1AC945" w14:textId="4B24F320" w:rsidR="007736D9" w:rsidRPr="00577714" w:rsidRDefault="007736D9" w:rsidP="00577714">
      <w:pPr>
        <w:tabs>
          <w:tab w:val="left" w:pos="1080"/>
        </w:tabs>
        <w:spacing w:before="120" w:after="120" w:line="252" w:lineRule="auto"/>
        <w:ind w:firstLine="720"/>
        <w:jc w:val="both"/>
        <w:rPr>
          <w:rFonts w:asciiTheme="majorHAnsi" w:hAnsiTheme="majorHAnsi" w:cstheme="majorHAnsi"/>
          <w:i/>
          <w:iCs/>
          <w:color w:val="000000" w:themeColor="text1"/>
          <w:sz w:val="28"/>
          <w:szCs w:val="28"/>
          <w:lang w:val="en-US"/>
        </w:rPr>
      </w:pPr>
      <w:r w:rsidRPr="00577714">
        <w:rPr>
          <w:rFonts w:asciiTheme="majorHAnsi" w:hAnsiTheme="majorHAnsi" w:cstheme="majorHAnsi"/>
          <w:i/>
          <w:iCs/>
          <w:sz w:val="28"/>
          <w:szCs w:val="28"/>
          <w:lang w:val="en-US"/>
        </w:rPr>
        <w:t xml:space="preserve">Căn cứ hồ sơ mời thầu đã được phê duyệt và phát hành trên hệ thống mạng đấu thầu quốc gia theo thông </w:t>
      </w:r>
      <w:r w:rsidRPr="00577714">
        <w:rPr>
          <w:rFonts w:asciiTheme="majorHAnsi" w:hAnsiTheme="majorHAnsi" w:cstheme="majorHAnsi"/>
          <w:i/>
          <w:iCs/>
          <w:color w:val="000000" w:themeColor="text1"/>
          <w:sz w:val="28"/>
          <w:szCs w:val="28"/>
          <w:lang w:val="en-US"/>
        </w:rPr>
        <w:t xml:space="preserve">báo mời thầu số </w:t>
      </w:r>
      <w:r w:rsidR="001E5F60" w:rsidRPr="00577714">
        <w:rPr>
          <w:rFonts w:asciiTheme="majorHAnsi" w:hAnsiTheme="majorHAnsi" w:cstheme="majorHAnsi"/>
          <w:i/>
          <w:iCs/>
          <w:color w:val="000000" w:themeColor="text1"/>
          <w:sz w:val="28"/>
          <w:szCs w:val="28"/>
          <w:lang w:val="en-US"/>
        </w:rPr>
        <w:t>IB2500</w:t>
      </w:r>
      <w:r w:rsidR="00C54192" w:rsidRPr="00577714">
        <w:rPr>
          <w:rFonts w:asciiTheme="majorHAnsi" w:hAnsiTheme="majorHAnsi" w:cstheme="majorHAnsi"/>
          <w:i/>
          <w:iCs/>
          <w:color w:val="000000" w:themeColor="text1"/>
          <w:sz w:val="28"/>
          <w:szCs w:val="28"/>
          <w:lang w:val="en-US"/>
        </w:rPr>
        <w:t>197301</w:t>
      </w:r>
      <w:r w:rsidR="001E5F60" w:rsidRPr="00577714">
        <w:rPr>
          <w:rFonts w:asciiTheme="majorHAnsi" w:hAnsiTheme="majorHAnsi" w:cstheme="majorHAnsi"/>
          <w:i/>
          <w:iCs/>
          <w:color w:val="000000" w:themeColor="text1"/>
          <w:sz w:val="28"/>
          <w:szCs w:val="28"/>
          <w:lang w:val="en-US"/>
        </w:rPr>
        <w:t xml:space="preserve"> ngày 1</w:t>
      </w:r>
      <w:r w:rsidR="00C54192" w:rsidRPr="00577714">
        <w:rPr>
          <w:rFonts w:asciiTheme="majorHAnsi" w:hAnsiTheme="majorHAnsi" w:cstheme="majorHAnsi"/>
          <w:i/>
          <w:iCs/>
          <w:color w:val="000000" w:themeColor="text1"/>
          <w:sz w:val="28"/>
          <w:szCs w:val="28"/>
          <w:lang w:val="en-US"/>
        </w:rPr>
        <w:t>0</w:t>
      </w:r>
      <w:r w:rsidR="001E5F60" w:rsidRPr="00577714">
        <w:rPr>
          <w:rFonts w:asciiTheme="majorHAnsi" w:hAnsiTheme="majorHAnsi" w:cstheme="majorHAnsi"/>
          <w:i/>
          <w:iCs/>
          <w:color w:val="000000" w:themeColor="text1"/>
          <w:sz w:val="28"/>
          <w:szCs w:val="28"/>
          <w:lang w:val="en-US"/>
        </w:rPr>
        <w:t>/</w:t>
      </w:r>
      <w:r w:rsidR="00C54192" w:rsidRPr="00577714">
        <w:rPr>
          <w:rFonts w:asciiTheme="majorHAnsi" w:hAnsiTheme="majorHAnsi" w:cstheme="majorHAnsi"/>
          <w:i/>
          <w:iCs/>
          <w:color w:val="000000" w:themeColor="text1"/>
          <w:sz w:val="28"/>
          <w:szCs w:val="28"/>
          <w:lang w:val="en-US"/>
        </w:rPr>
        <w:t>5</w:t>
      </w:r>
      <w:r w:rsidR="001E5F60" w:rsidRPr="00577714">
        <w:rPr>
          <w:rFonts w:asciiTheme="majorHAnsi" w:hAnsiTheme="majorHAnsi" w:cstheme="majorHAnsi"/>
          <w:i/>
          <w:iCs/>
          <w:color w:val="000000" w:themeColor="text1"/>
          <w:sz w:val="28"/>
          <w:szCs w:val="28"/>
          <w:lang w:val="en-US"/>
        </w:rPr>
        <w:t>/2025</w:t>
      </w:r>
      <w:r w:rsidR="00C54192" w:rsidRPr="00577714">
        <w:rPr>
          <w:rFonts w:asciiTheme="majorHAnsi" w:hAnsiTheme="majorHAnsi" w:cstheme="majorHAnsi"/>
          <w:i/>
          <w:iCs/>
          <w:color w:val="000000" w:themeColor="text1"/>
          <w:sz w:val="28"/>
          <w:szCs w:val="28"/>
          <w:lang w:val="en-US"/>
        </w:rPr>
        <w:t>; theo đó,</w:t>
      </w:r>
      <w:r w:rsidRPr="00577714">
        <w:rPr>
          <w:rFonts w:asciiTheme="majorHAnsi" w:hAnsiTheme="majorHAnsi" w:cstheme="majorHAnsi"/>
          <w:i/>
          <w:iCs/>
          <w:color w:val="000000" w:themeColor="text1"/>
          <w:sz w:val="28"/>
          <w:szCs w:val="28"/>
          <w:lang w:val="en-US"/>
        </w:rPr>
        <w:t xml:space="preserve"> thời điểm đóng thầu là </w:t>
      </w:r>
      <w:r w:rsidR="00C54192" w:rsidRPr="00577714">
        <w:rPr>
          <w:rFonts w:asciiTheme="majorHAnsi" w:hAnsiTheme="majorHAnsi" w:cstheme="majorHAnsi"/>
          <w:i/>
          <w:iCs/>
          <w:color w:val="000000" w:themeColor="text1"/>
          <w:sz w:val="28"/>
          <w:szCs w:val="28"/>
          <w:lang w:val="en-US"/>
        </w:rPr>
        <w:t>08</w:t>
      </w:r>
      <w:r w:rsidRPr="00577714">
        <w:rPr>
          <w:rFonts w:asciiTheme="majorHAnsi" w:hAnsiTheme="majorHAnsi" w:cstheme="majorHAnsi"/>
          <w:i/>
          <w:iCs/>
          <w:color w:val="000000" w:themeColor="text1"/>
          <w:sz w:val="28"/>
          <w:szCs w:val="28"/>
          <w:lang w:val="en-US"/>
        </w:rPr>
        <w:t xml:space="preserve"> giờ</w:t>
      </w:r>
      <w:r w:rsidR="00AD7E35" w:rsidRPr="00577714">
        <w:rPr>
          <w:rFonts w:asciiTheme="majorHAnsi" w:hAnsiTheme="majorHAnsi" w:cstheme="majorHAnsi"/>
          <w:i/>
          <w:iCs/>
          <w:color w:val="000000" w:themeColor="text1"/>
          <w:sz w:val="28"/>
          <w:szCs w:val="28"/>
          <w:lang w:val="en-US"/>
        </w:rPr>
        <w:t xml:space="preserve"> 00 ngày </w:t>
      </w:r>
      <w:r w:rsidR="00C54192" w:rsidRPr="00577714">
        <w:rPr>
          <w:rFonts w:asciiTheme="majorHAnsi" w:hAnsiTheme="majorHAnsi" w:cstheme="majorHAnsi"/>
          <w:i/>
          <w:iCs/>
          <w:color w:val="000000" w:themeColor="text1"/>
          <w:sz w:val="28"/>
          <w:szCs w:val="28"/>
          <w:lang w:val="en-US"/>
        </w:rPr>
        <w:t>10</w:t>
      </w:r>
      <w:r w:rsidR="001E5F60" w:rsidRPr="00577714">
        <w:rPr>
          <w:rFonts w:asciiTheme="majorHAnsi" w:hAnsiTheme="majorHAnsi" w:cstheme="majorHAnsi"/>
          <w:i/>
          <w:iCs/>
          <w:color w:val="000000" w:themeColor="text1"/>
          <w:sz w:val="28"/>
          <w:szCs w:val="28"/>
          <w:lang w:val="en-US"/>
        </w:rPr>
        <w:t>/</w:t>
      </w:r>
      <w:r w:rsidR="00C54192" w:rsidRPr="00577714">
        <w:rPr>
          <w:rFonts w:asciiTheme="majorHAnsi" w:hAnsiTheme="majorHAnsi" w:cstheme="majorHAnsi"/>
          <w:i/>
          <w:iCs/>
          <w:color w:val="000000" w:themeColor="text1"/>
          <w:sz w:val="28"/>
          <w:szCs w:val="28"/>
          <w:lang w:val="en-US"/>
        </w:rPr>
        <w:t>6</w:t>
      </w:r>
      <w:r w:rsidRPr="00577714">
        <w:rPr>
          <w:rFonts w:asciiTheme="majorHAnsi" w:hAnsiTheme="majorHAnsi" w:cstheme="majorHAnsi"/>
          <w:i/>
          <w:iCs/>
          <w:color w:val="000000" w:themeColor="text1"/>
          <w:sz w:val="28"/>
          <w:szCs w:val="28"/>
          <w:lang w:val="en-US"/>
        </w:rPr>
        <w:t>/2025;</w:t>
      </w:r>
    </w:p>
    <w:p w14:paraId="3A3B441E" w14:textId="0F98C7CE" w:rsidR="00F82894" w:rsidRPr="00577714" w:rsidRDefault="00F82894" w:rsidP="00577714">
      <w:pPr>
        <w:tabs>
          <w:tab w:val="left" w:pos="1080"/>
        </w:tabs>
        <w:spacing w:before="120" w:after="120" w:line="252" w:lineRule="auto"/>
        <w:ind w:firstLine="720"/>
        <w:jc w:val="both"/>
        <w:rPr>
          <w:rFonts w:asciiTheme="majorHAnsi" w:hAnsiTheme="majorHAnsi" w:cstheme="majorHAnsi"/>
          <w:iCs/>
          <w:color w:val="000000" w:themeColor="text1"/>
          <w:sz w:val="28"/>
          <w:szCs w:val="28"/>
          <w:lang w:val="en-US"/>
        </w:rPr>
      </w:pPr>
      <w:r w:rsidRPr="00577714">
        <w:rPr>
          <w:rFonts w:asciiTheme="majorHAnsi" w:hAnsiTheme="majorHAnsi" w:cstheme="majorHAnsi"/>
          <w:iCs/>
          <w:color w:val="000000" w:themeColor="text1"/>
          <w:sz w:val="28"/>
          <w:szCs w:val="28"/>
          <w:lang w:val="en-US"/>
        </w:rPr>
        <w:t>Trên cơ sở báo cáo xử lý tình huống tại thời điểm đóng thầu dự án đầu tư theo</w:t>
      </w:r>
      <w:r w:rsidR="002341B2" w:rsidRPr="00577714">
        <w:rPr>
          <w:rFonts w:asciiTheme="majorHAnsi" w:hAnsiTheme="majorHAnsi" w:cstheme="majorHAnsi"/>
          <w:iCs/>
          <w:color w:val="000000" w:themeColor="text1"/>
          <w:sz w:val="28"/>
          <w:szCs w:val="28"/>
          <w:lang w:val="en-US"/>
        </w:rPr>
        <w:t xml:space="preserve"> c</w:t>
      </w:r>
      <w:r w:rsidRPr="00577714">
        <w:rPr>
          <w:rFonts w:asciiTheme="majorHAnsi" w:hAnsiTheme="majorHAnsi" w:cstheme="majorHAnsi"/>
          <w:iCs/>
          <w:color w:val="000000" w:themeColor="text1"/>
          <w:sz w:val="28"/>
          <w:szCs w:val="28"/>
          <w:lang w:val="en-US"/>
        </w:rPr>
        <w:t xml:space="preserve">ông </w:t>
      </w:r>
      <w:r w:rsidRPr="00577714">
        <w:rPr>
          <w:rFonts w:asciiTheme="majorHAnsi" w:hAnsiTheme="majorHAnsi" w:cstheme="majorHAnsi"/>
          <w:iCs/>
          <w:sz w:val="28"/>
          <w:szCs w:val="28"/>
          <w:lang w:val="en-US"/>
        </w:rPr>
        <w:t>văn</w:t>
      </w:r>
      <w:r w:rsidR="00C54192" w:rsidRPr="00577714">
        <w:rPr>
          <w:rFonts w:asciiTheme="majorHAnsi" w:hAnsiTheme="majorHAnsi" w:cstheme="majorHAnsi"/>
          <w:iCs/>
          <w:sz w:val="28"/>
          <w:szCs w:val="28"/>
          <w:lang w:val="en-US"/>
        </w:rPr>
        <w:t xml:space="preserve"> số</w:t>
      </w:r>
      <w:r w:rsidRPr="00577714">
        <w:rPr>
          <w:rFonts w:asciiTheme="majorHAnsi" w:hAnsiTheme="majorHAnsi" w:cstheme="majorHAnsi"/>
          <w:iCs/>
          <w:sz w:val="28"/>
          <w:szCs w:val="28"/>
          <w:lang w:val="en-US"/>
        </w:rPr>
        <w:t xml:space="preserve"> </w:t>
      </w:r>
      <w:r w:rsidR="005370F7" w:rsidRPr="00577714">
        <w:rPr>
          <w:rFonts w:asciiTheme="majorHAnsi" w:hAnsiTheme="majorHAnsi" w:cstheme="majorHAnsi"/>
          <w:iCs/>
          <w:sz w:val="28"/>
          <w:szCs w:val="28"/>
          <w:lang w:val="en-US"/>
        </w:rPr>
        <w:t>261/2025/CV-HL ngày 09/6/2025</w:t>
      </w:r>
      <w:r w:rsidRPr="00577714">
        <w:rPr>
          <w:rFonts w:asciiTheme="majorHAnsi" w:hAnsiTheme="majorHAnsi" w:cstheme="majorHAnsi"/>
          <w:iCs/>
          <w:sz w:val="28"/>
          <w:szCs w:val="28"/>
          <w:lang w:val="en-US"/>
        </w:rPr>
        <w:t xml:space="preserve"> của </w:t>
      </w:r>
      <w:r w:rsidR="00C54192" w:rsidRPr="00577714">
        <w:rPr>
          <w:rFonts w:asciiTheme="majorHAnsi" w:hAnsiTheme="majorHAnsi" w:cstheme="majorHAnsi"/>
          <w:iCs/>
          <w:sz w:val="28"/>
          <w:szCs w:val="28"/>
          <w:lang w:val="en-US"/>
        </w:rPr>
        <w:t>Công ty Cổ phần Đầu tư và Xây dựng Hưng Long</w:t>
      </w:r>
      <w:r w:rsidRPr="00577714">
        <w:rPr>
          <w:rFonts w:asciiTheme="majorHAnsi" w:hAnsiTheme="majorHAnsi" w:cstheme="majorHAnsi"/>
          <w:iCs/>
          <w:sz w:val="28"/>
          <w:szCs w:val="28"/>
          <w:lang w:val="en-US"/>
        </w:rPr>
        <w:t xml:space="preserve"> về việc thống nhất nội dung báo cáo xử lý tình huống tại thời điểm đóng thầu dự án </w:t>
      </w:r>
      <w:r w:rsidR="00C54192" w:rsidRPr="00577714">
        <w:rPr>
          <w:rFonts w:asciiTheme="majorHAnsi" w:hAnsiTheme="majorHAnsi" w:cstheme="majorHAnsi"/>
          <w:iCs/>
          <w:sz w:val="28"/>
          <w:szCs w:val="28"/>
          <w:lang w:val="en-US"/>
        </w:rPr>
        <w:t xml:space="preserve">Đầu tư xây dựng </w:t>
      </w:r>
      <w:r w:rsidR="00C54192" w:rsidRPr="00577714">
        <w:rPr>
          <w:rFonts w:asciiTheme="majorHAnsi" w:hAnsiTheme="majorHAnsi" w:cstheme="majorHAnsi"/>
          <w:iCs/>
          <w:color w:val="000000" w:themeColor="text1"/>
          <w:sz w:val="28"/>
          <w:szCs w:val="28"/>
          <w:lang w:val="en-US"/>
        </w:rPr>
        <w:t>đường bộ cao tốc Bảo Lộc – Liên Khương theo phương thức đối tác công tư (giai đoạn 1)</w:t>
      </w:r>
      <w:r w:rsidRPr="00577714">
        <w:rPr>
          <w:rFonts w:asciiTheme="majorHAnsi" w:hAnsiTheme="majorHAnsi" w:cstheme="majorHAnsi"/>
          <w:iCs/>
          <w:color w:val="000000" w:themeColor="text1"/>
          <w:sz w:val="28"/>
          <w:szCs w:val="28"/>
          <w:lang w:val="en-US"/>
        </w:rPr>
        <w:t>.</w:t>
      </w:r>
    </w:p>
    <w:p w14:paraId="75AF66A3" w14:textId="02DF7508" w:rsidR="00CC38E3" w:rsidRPr="00577714" w:rsidRDefault="00147273" w:rsidP="00577714">
      <w:pPr>
        <w:tabs>
          <w:tab w:val="left" w:pos="1080"/>
        </w:tabs>
        <w:spacing w:before="120" w:after="120" w:line="252" w:lineRule="auto"/>
        <w:ind w:firstLine="720"/>
        <w:jc w:val="both"/>
        <w:rPr>
          <w:rFonts w:asciiTheme="majorHAnsi" w:hAnsiTheme="majorHAnsi" w:cstheme="majorHAnsi"/>
          <w:iCs/>
          <w:color w:val="000000" w:themeColor="text1"/>
          <w:spacing w:val="-2"/>
          <w:sz w:val="28"/>
          <w:szCs w:val="28"/>
          <w:lang w:val="en-US"/>
        </w:rPr>
      </w:pPr>
      <w:r w:rsidRPr="00577714">
        <w:rPr>
          <w:rFonts w:asciiTheme="majorHAnsi" w:hAnsiTheme="majorHAnsi" w:cstheme="majorHAnsi"/>
          <w:iCs/>
          <w:color w:val="000000" w:themeColor="text1"/>
          <w:spacing w:val="-2"/>
          <w:sz w:val="28"/>
          <w:szCs w:val="28"/>
          <w:lang w:val="en-US"/>
        </w:rPr>
        <w:t>Ban</w:t>
      </w:r>
      <w:r w:rsidR="0070006D" w:rsidRPr="00577714">
        <w:rPr>
          <w:rFonts w:asciiTheme="majorHAnsi" w:hAnsiTheme="majorHAnsi" w:cstheme="majorHAnsi"/>
          <w:iCs/>
          <w:color w:val="000000" w:themeColor="text1"/>
          <w:spacing w:val="-2"/>
          <w:sz w:val="28"/>
          <w:szCs w:val="28"/>
          <w:lang w:val="en-US"/>
        </w:rPr>
        <w:t xml:space="preserve"> Quản lý dự án giao thông</w:t>
      </w:r>
      <w:r w:rsidRPr="00577714">
        <w:rPr>
          <w:rFonts w:asciiTheme="majorHAnsi" w:hAnsiTheme="majorHAnsi" w:cstheme="majorHAnsi"/>
          <w:iCs/>
          <w:color w:val="000000" w:themeColor="text1"/>
          <w:spacing w:val="-2"/>
          <w:sz w:val="28"/>
          <w:szCs w:val="28"/>
          <w:lang w:val="en-US"/>
        </w:rPr>
        <w:t xml:space="preserve"> </w:t>
      </w:r>
      <w:r w:rsidR="00BE5839" w:rsidRPr="00577714">
        <w:rPr>
          <w:rFonts w:asciiTheme="majorHAnsi" w:hAnsiTheme="majorHAnsi" w:cstheme="majorHAnsi"/>
          <w:iCs/>
          <w:color w:val="000000" w:themeColor="text1"/>
          <w:spacing w:val="-2"/>
          <w:sz w:val="28"/>
          <w:szCs w:val="28"/>
          <w:lang w:val="en-US"/>
        </w:rPr>
        <w:t>báo cáo về kế hoạch đóng</w:t>
      </w:r>
      <w:r w:rsidR="008C156C" w:rsidRPr="00577714">
        <w:rPr>
          <w:rFonts w:asciiTheme="majorHAnsi" w:hAnsiTheme="majorHAnsi" w:cstheme="majorHAnsi"/>
          <w:color w:val="000000" w:themeColor="text1"/>
          <w:spacing w:val="-2"/>
          <w:sz w:val="28"/>
          <w:szCs w:val="28"/>
        </w:rPr>
        <w:t xml:space="preserve"> thầu</w:t>
      </w:r>
      <w:r w:rsidR="00BE5839" w:rsidRPr="00577714">
        <w:rPr>
          <w:rFonts w:asciiTheme="majorHAnsi" w:hAnsiTheme="majorHAnsi" w:cstheme="majorHAnsi"/>
          <w:color w:val="000000" w:themeColor="text1"/>
          <w:spacing w:val="-2"/>
          <w:sz w:val="28"/>
          <w:szCs w:val="28"/>
          <w:lang w:val="en-GB"/>
        </w:rPr>
        <w:t>, mở thầu</w:t>
      </w:r>
      <w:r w:rsidR="005E4576" w:rsidRPr="00577714">
        <w:rPr>
          <w:rFonts w:asciiTheme="majorHAnsi" w:hAnsiTheme="majorHAnsi" w:cstheme="majorHAnsi"/>
          <w:color w:val="000000" w:themeColor="text1"/>
          <w:spacing w:val="-2"/>
          <w:sz w:val="28"/>
          <w:szCs w:val="28"/>
          <w:lang w:val="en-GB"/>
        </w:rPr>
        <w:t xml:space="preserve"> và xin ý kiến chỉ đạo </w:t>
      </w:r>
      <w:r w:rsidR="00CD37F2" w:rsidRPr="00577714">
        <w:rPr>
          <w:rFonts w:asciiTheme="majorHAnsi" w:hAnsiTheme="majorHAnsi" w:cstheme="majorHAnsi"/>
          <w:color w:val="000000" w:themeColor="text1"/>
          <w:spacing w:val="-2"/>
          <w:sz w:val="28"/>
          <w:szCs w:val="28"/>
          <w:lang w:val="en-GB"/>
        </w:rPr>
        <w:t xml:space="preserve">phương án xử lý tình huống trong đấu thầu của </w:t>
      </w:r>
      <w:r w:rsidR="005E4576" w:rsidRPr="00577714">
        <w:rPr>
          <w:rFonts w:asciiTheme="majorHAnsi" w:hAnsiTheme="majorHAnsi" w:cstheme="majorHAnsi"/>
          <w:iCs/>
          <w:color w:val="000000" w:themeColor="text1"/>
          <w:spacing w:val="-2"/>
          <w:sz w:val="28"/>
          <w:szCs w:val="28"/>
          <w:lang w:val="en-US"/>
        </w:rPr>
        <w:t xml:space="preserve">Ủy ban nhân dân </w:t>
      </w:r>
      <w:r w:rsidR="005E4576" w:rsidRPr="00577714">
        <w:rPr>
          <w:rFonts w:asciiTheme="majorHAnsi" w:hAnsiTheme="majorHAnsi" w:cstheme="majorHAnsi"/>
          <w:iCs/>
          <w:color w:val="000000" w:themeColor="text1"/>
          <w:spacing w:val="-2"/>
          <w:sz w:val="28"/>
          <w:szCs w:val="28"/>
          <w:lang w:val="en-US"/>
        </w:rPr>
        <w:lastRenderedPageBreak/>
        <w:t>tỉnh</w:t>
      </w:r>
      <w:r w:rsidR="00F812D8" w:rsidRPr="00577714">
        <w:rPr>
          <w:rFonts w:asciiTheme="majorHAnsi" w:hAnsiTheme="majorHAnsi" w:cstheme="majorHAnsi"/>
          <w:iCs/>
          <w:color w:val="000000" w:themeColor="text1"/>
          <w:spacing w:val="-2"/>
          <w:sz w:val="28"/>
          <w:szCs w:val="28"/>
          <w:lang w:val="en-US"/>
        </w:rPr>
        <w:t xml:space="preserve"> đối với</w:t>
      </w:r>
      <w:r w:rsidR="00CF7502">
        <w:rPr>
          <w:rFonts w:asciiTheme="majorHAnsi" w:hAnsiTheme="majorHAnsi" w:cstheme="majorHAnsi"/>
          <w:iCs/>
          <w:color w:val="000000" w:themeColor="text1"/>
          <w:spacing w:val="-2"/>
          <w:sz w:val="28"/>
          <w:szCs w:val="28"/>
          <w:lang w:val="en-US"/>
        </w:rPr>
        <w:t xml:space="preserve"> công tác lựa chọn Nhà đầu tư</w:t>
      </w:r>
      <w:r w:rsidR="00F812D8" w:rsidRPr="00577714">
        <w:rPr>
          <w:rFonts w:asciiTheme="majorHAnsi" w:hAnsiTheme="majorHAnsi" w:cstheme="majorHAnsi"/>
          <w:iCs/>
          <w:color w:val="000000" w:themeColor="text1"/>
          <w:spacing w:val="-2"/>
          <w:sz w:val="28"/>
          <w:szCs w:val="28"/>
          <w:lang w:val="en-US"/>
        </w:rPr>
        <w:t xml:space="preserve"> dự án</w:t>
      </w:r>
      <w:r w:rsidR="008C156C" w:rsidRPr="00577714">
        <w:rPr>
          <w:rFonts w:asciiTheme="majorHAnsi" w:hAnsiTheme="majorHAnsi" w:cstheme="majorHAnsi"/>
          <w:color w:val="000000" w:themeColor="text1"/>
          <w:spacing w:val="-2"/>
          <w:sz w:val="28"/>
          <w:szCs w:val="28"/>
        </w:rPr>
        <w:t xml:space="preserve"> </w:t>
      </w:r>
      <w:r w:rsidR="00F812D8" w:rsidRPr="00577714">
        <w:rPr>
          <w:rFonts w:asciiTheme="majorHAnsi" w:hAnsiTheme="majorHAnsi" w:cstheme="majorHAnsi"/>
          <w:color w:val="000000" w:themeColor="text1"/>
          <w:spacing w:val="-2"/>
          <w:sz w:val="28"/>
          <w:szCs w:val="28"/>
          <w:lang w:val="en-GB"/>
        </w:rPr>
        <w:t>Đầu tư xây dựng đường bộ cao tốc Bảo Lộc – Liên Khương theo phương thức đối tác công tư (giai đoạn 1)</w:t>
      </w:r>
      <w:r w:rsidR="008E4952" w:rsidRPr="00577714">
        <w:rPr>
          <w:rFonts w:asciiTheme="majorHAnsi" w:eastAsia="Times New Roman" w:hAnsiTheme="majorHAnsi" w:cstheme="majorHAnsi"/>
          <w:iCs/>
          <w:color w:val="000000" w:themeColor="text1"/>
          <w:spacing w:val="-2"/>
          <w:sz w:val="28"/>
          <w:szCs w:val="28"/>
          <w:lang w:val="es-ES"/>
        </w:rPr>
        <w:t xml:space="preserve"> </w:t>
      </w:r>
      <w:r w:rsidR="00BE5839" w:rsidRPr="00577714">
        <w:rPr>
          <w:rFonts w:asciiTheme="majorHAnsi" w:hAnsiTheme="majorHAnsi" w:cstheme="majorHAnsi"/>
          <w:color w:val="000000" w:themeColor="text1"/>
          <w:spacing w:val="-2"/>
          <w:sz w:val="28"/>
          <w:szCs w:val="28"/>
          <w:lang w:val="en-GB"/>
        </w:rPr>
        <w:t>như sau</w:t>
      </w:r>
      <w:r w:rsidRPr="00577714">
        <w:rPr>
          <w:rFonts w:asciiTheme="majorHAnsi" w:hAnsiTheme="majorHAnsi" w:cstheme="majorHAnsi"/>
          <w:iCs/>
          <w:color w:val="000000" w:themeColor="text1"/>
          <w:spacing w:val="-2"/>
          <w:sz w:val="28"/>
          <w:szCs w:val="28"/>
          <w:lang w:val="en-US"/>
        </w:rPr>
        <w:t>:</w:t>
      </w:r>
    </w:p>
    <w:p w14:paraId="33C24BBE" w14:textId="61CC9A4B" w:rsidR="0013516B" w:rsidRPr="00577714" w:rsidRDefault="0013516B" w:rsidP="00577714">
      <w:pPr>
        <w:spacing w:before="120" w:after="120" w:line="276" w:lineRule="auto"/>
        <w:ind w:firstLine="720"/>
        <w:jc w:val="both"/>
        <w:rPr>
          <w:rFonts w:asciiTheme="majorHAnsi" w:hAnsiTheme="majorHAnsi" w:cstheme="majorHAnsi"/>
          <w:b/>
          <w:bCs/>
          <w:iCs/>
          <w:color w:val="000000" w:themeColor="text1"/>
          <w:sz w:val="28"/>
          <w:szCs w:val="28"/>
          <w:lang w:val="en-US"/>
        </w:rPr>
      </w:pPr>
      <w:r w:rsidRPr="00577714">
        <w:rPr>
          <w:rFonts w:asciiTheme="majorHAnsi" w:hAnsiTheme="majorHAnsi" w:cstheme="majorHAnsi"/>
          <w:b/>
          <w:bCs/>
          <w:iCs/>
          <w:color w:val="000000" w:themeColor="text1"/>
          <w:sz w:val="28"/>
          <w:szCs w:val="28"/>
          <w:lang w:val="en-US"/>
        </w:rPr>
        <w:t xml:space="preserve">I. Các quy định </w:t>
      </w:r>
      <w:r w:rsidR="00F169DE">
        <w:rPr>
          <w:rFonts w:asciiTheme="majorHAnsi" w:hAnsiTheme="majorHAnsi" w:cstheme="majorHAnsi"/>
          <w:b/>
          <w:bCs/>
          <w:iCs/>
          <w:color w:val="000000" w:themeColor="text1"/>
          <w:sz w:val="28"/>
          <w:szCs w:val="28"/>
          <w:lang w:val="en-US"/>
        </w:rPr>
        <w:t>pháp lý</w:t>
      </w:r>
    </w:p>
    <w:p w14:paraId="2CA6D221" w14:textId="16D80AE4" w:rsidR="007775A0" w:rsidRPr="00577714" w:rsidRDefault="001E5F60" w:rsidP="00577714">
      <w:pPr>
        <w:spacing w:before="120" w:after="120" w:line="276" w:lineRule="auto"/>
        <w:ind w:firstLine="720"/>
        <w:jc w:val="both"/>
        <w:rPr>
          <w:rFonts w:asciiTheme="majorHAnsi" w:hAnsiTheme="majorHAnsi" w:cstheme="majorHAnsi"/>
          <w:b/>
          <w:bCs/>
          <w:i/>
          <w:color w:val="000000" w:themeColor="text1"/>
          <w:sz w:val="28"/>
          <w:szCs w:val="28"/>
          <w:lang w:val="en-US"/>
        </w:rPr>
      </w:pPr>
      <w:r w:rsidRPr="00577714">
        <w:rPr>
          <w:rFonts w:asciiTheme="majorHAnsi" w:hAnsiTheme="majorHAnsi" w:cstheme="majorHAnsi"/>
          <w:b/>
          <w:bCs/>
          <w:i/>
          <w:color w:val="000000" w:themeColor="text1"/>
          <w:sz w:val="28"/>
          <w:szCs w:val="28"/>
        </w:rPr>
        <w:t>1. Trường hợp có 03 nhà đầu tư nộp hồ sơ dự thầu</w:t>
      </w:r>
    </w:p>
    <w:p w14:paraId="7708B744" w14:textId="65ACAE47" w:rsidR="001E5F60" w:rsidRPr="00577714" w:rsidRDefault="001E5F60" w:rsidP="00577714">
      <w:pPr>
        <w:spacing w:before="120" w:after="120" w:line="276" w:lineRule="auto"/>
        <w:ind w:firstLine="720"/>
        <w:jc w:val="both"/>
        <w:rPr>
          <w:rFonts w:asciiTheme="majorHAnsi" w:hAnsiTheme="majorHAnsi" w:cstheme="majorHAnsi"/>
          <w:iCs/>
          <w:color w:val="000000" w:themeColor="text1"/>
          <w:sz w:val="28"/>
          <w:szCs w:val="28"/>
        </w:rPr>
      </w:pPr>
      <w:r w:rsidRPr="00577714">
        <w:rPr>
          <w:rFonts w:asciiTheme="majorHAnsi" w:hAnsiTheme="majorHAnsi" w:cstheme="majorHAnsi"/>
          <w:iCs/>
          <w:color w:val="000000" w:themeColor="text1"/>
          <w:sz w:val="28"/>
          <w:szCs w:val="28"/>
        </w:rPr>
        <w:t>Tiến hành mở thầu và triển khai các bước tiếp theo theo quy định.</w:t>
      </w:r>
    </w:p>
    <w:p w14:paraId="25A98B37" w14:textId="744E78C5" w:rsidR="007775A0" w:rsidRPr="00577714" w:rsidRDefault="001E5F60" w:rsidP="00577714">
      <w:pPr>
        <w:spacing w:before="120" w:after="120" w:line="276" w:lineRule="auto"/>
        <w:ind w:firstLine="720"/>
        <w:jc w:val="both"/>
        <w:rPr>
          <w:rFonts w:asciiTheme="majorHAnsi" w:hAnsiTheme="majorHAnsi" w:cstheme="majorHAnsi"/>
          <w:b/>
          <w:bCs/>
          <w:i/>
          <w:color w:val="000000" w:themeColor="text1"/>
          <w:sz w:val="28"/>
          <w:szCs w:val="28"/>
          <w:lang w:val="en-US"/>
        </w:rPr>
      </w:pPr>
      <w:r w:rsidRPr="00577714">
        <w:rPr>
          <w:rFonts w:asciiTheme="majorHAnsi" w:hAnsiTheme="majorHAnsi" w:cstheme="majorHAnsi"/>
          <w:b/>
          <w:bCs/>
          <w:i/>
          <w:color w:val="000000" w:themeColor="text1"/>
          <w:sz w:val="28"/>
          <w:szCs w:val="28"/>
        </w:rPr>
        <w:t>2. Trường hợp có ít hơn 03 nhà đầu tư nộp hồ sơ dự thầu</w:t>
      </w:r>
    </w:p>
    <w:p w14:paraId="246BB606" w14:textId="569ED04A" w:rsidR="001E5F60" w:rsidRPr="00577714" w:rsidRDefault="001E5F60" w:rsidP="00577714">
      <w:pPr>
        <w:spacing w:before="120" w:after="120" w:line="276" w:lineRule="auto"/>
        <w:ind w:firstLine="720"/>
        <w:jc w:val="both"/>
        <w:rPr>
          <w:rFonts w:asciiTheme="majorHAnsi" w:hAnsiTheme="majorHAnsi" w:cstheme="majorHAnsi"/>
          <w:iCs/>
          <w:color w:val="000000" w:themeColor="text1"/>
          <w:sz w:val="28"/>
          <w:szCs w:val="28"/>
        </w:rPr>
      </w:pPr>
      <w:r w:rsidRPr="00577714">
        <w:rPr>
          <w:rFonts w:asciiTheme="majorHAnsi" w:hAnsiTheme="majorHAnsi" w:cstheme="majorHAnsi"/>
          <w:iCs/>
          <w:color w:val="000000" w:themeColor="text1"/>
          <w:sz w:val="28"/>
          <w:szCs w:val="28"/>
        </w:rPr>
        <w:t>Theo quy định tại Khoản 3, điều 83 Nghị định 35/2021/NĐ-CP ngày 29/3/2021 của Chính phủ quy định chi tiết và hướng dẫn thi hành Luật Đầu tư theo phương thức đối tác công tư:</w:t>
      </w:r>
    </w:p>
    <w:p w14:paraId="5332C3A5" w14:textId="77777777" w:rsidR="001E5F60" w:rsidRPr="00577714" w:rsidRDefault="001E5F60" w:rsidP="00577714">
      <w:pPr>
        <w:tabs>
          <w:tab w:val="left" w:pos="1080"/>
        </w:tabs>
        <w:spacing w:before="120" w:after="120" w:line="276" w:lineRule="auto"/>
        <w:ind w:firstLine="720"/>
        <w:jc w:val="both"/>
        <w:rPr>
          <w:rFonts w:asciiTheme="majorHAnsi" w:hAnsiTheme="majorHAnsi" w:cstheme="majorHAnsi"/>
          <w:i/>
          <w:iCs/>
          <w:color w:val="000000" w:themeColor="text1"/>
          <w:sz w:val="28"/>
          <w:szCs w:val="28"/>
        </w:rPr>
      </w:pPr>
      <w:r w:rsidRPr="00577714">
        <w:rPr>
          <w:rFonts w:asciiTheme="majorHAnsi" w:hAnsiTheme="majorHAnsi" w:cstheme="majorHAnsi"/>
          <w:iCs/>
          <w:color w:val="000000" w:themeColor="text1"/>
          <w:sz w:val="28"/>
          <w:szCs w:val="28"/>
        </w:rPr>
        <w:t>“</w:t>
      </w:r>
      <w:r w:rsidRPr="00577714">
        <w:rPr>
          <w:rFonts w:asciiTheme="majorHAnsi" w:hAnsiTheme="majorHAnsi" w:cstheme="majorHAnsi"/>
          <w:i/>
          <w:iCs/>
          <w:color w:val="000000" w:themeColor="text1"/>
          <w:sz w:val="28"/>
          <w:szCs w:val="28"/>
        </w:rPr>
        <w:t>3. Đối với sơ tuyển, đấu thầu rộng rãi không sơ tuyển, đàm phán cạnh tranh theo quy định tại khoản 2 và khoản 3 Điều 38 của Luật PPP, trường hợp có ít hơn 03 nhà đầu tư nộp hồ sơ dự sơ tuyển hoặc hồ sơ dự đàm phán hoặc hồ sơ dự thầu, bên mời thầu báo cáo cơ quan có thẩm quyền xem xét, xử lý theo một trong hai cách sau đây:</w:t>
      </w:r>
    </w:p>
    <w:p w14:paraId="5D886502" w14:textId="77777777" w:rsidR="001E5F60" w:rsidRPr="00577714" w:rsidRDefault="001E5F60" w:rsidP="00577714">
      <w:pPr>
        <w:tabs>
          <w:tab w:val="left" w:pos="1080"/>
        </w:tabs>
        <w:spacing w:before="120" w:after="120" w:line="276" w:lineRule="auto"/>
        <w:ind w:firstLine="720"/>
        <w:jc w:val="both"/>
        <w:rPr>
          <w:rFonts w:asciiTheme="majorHAnsi" w:hAnsiTheme="majorHAnsi" w:cstheme="majorHAnsi"/>
          <w:i/>
          <w:iCs/>
          <w:color w:val="000000" w:themeColor="text1"/>
          <w:sz w:val="28"/>
          <w:szCs w:val="28"/>
        </w:rPr>
      </w:pPr>
      <w:r w:rsidRPr="00577714">
        <w:rPr>
          <w:rFonts w:asciiTheme="majorHAnsi" w:hAnsiTheme="majorHAnsi" w:cstheme="majorHAnsi"/>
          <w:i/>
          <w:iCs/>
          <w:color w:val="000000" w:themeColor="text1"/>
          <w:sz w:val="28"/>
          <w:szCs w:val="28"/>
        </w:rPr>
        <w:t>a) Cho phép mở thầu ngay để đánh giá;</w:t>
      </w:r>
    </w:p>
    <w:p w14:paraId="5497F649" w14:textId="77777777" w:rsidR="001E5F60" w:rsidRPr="00577714" w:rsidRDefault="001E5F60" w:rsidP="00577714">
      <w:pPr>
        <w:tabs>
          <w:tab w:val="left" w:pos="1080"/>
        </w:tabs>
        <w:spacing w:before="120" w:after="120" w:line="276" w:lineRule="auto"/>
        <w:ind w:firstLine="720"/>
        <w:jc w:val="both"/>
        <w:rPr>
          <w:rFonts w:asciiTheme="majorHAnsi" w:hAnsiTheme="majorHAnsi" w:cstheme="majorHAnsi"/>
          <w:iCs/>
          <w:color w:val="000000" w:themeColor="text1"/>
          <w:sz w:val="28"/>
          <w:szCs w:val="28"/>
        </w:rPr>
      </w:pPr>
      <w:r w:rsidRPr="00577714">
        <w:rPr>
          <w:rFonts w:asciiTheme="majorHAnsi" w:hAnsiTheme="majorHAnsi" w:cstheme="majorHAnsi"/>
          <w:i/>
          <w:iCs/>
          <w:color w:val="000000" w:themeColor="text1"/>
          <w:sz w:val="28"/>
          <w:szCs w:val="28"/>
        </w:rPr>
        <w:t>b) Cho phép gia hạn thời điểm đóng thầu đồng thời rà soát, chỉnh sửa hồ sơ mời sơ tuyển hoặc hồ sơ mời đàm phán hoặc hồ sơ mời thầu (nếu cần thiết). Trường hợp chỉnh sửa hồ sơ mời sơ tuyển, hồ sơ mời đàm phán hoặc hồ sơ mời thầu, các nhà đầu tư đã nộp hồ sơ dự sơ tuyển, hồ sơ dự đàm phán hoặc hồ sơ dự thầu có quyền sửa đổi, thay thế hoặc rút hồ sơ đã nộp</w:t>
      </w:r>
      <w:r w:rsidRPr="00577714">
        <w:rPr>
          <w:rFonts w:asciiTheme="majorHAnsi" w:hAnsiTheme="majorHAnsi" w:cstheme="majorHAnsi"/>
          <w:iCs/>
          <w:color w:val="000000" w:themeColor="text1"/>
          <w:sz w:val="28"/>
          <w:szCs w:val="28"/>
        </w:rPr>
        <w:t>.”</w:t>
      </w:r>
    </w:p>
    <w:p w14:paraId="7E197C43" w14:textId="32C10892" w:rsidR="007775A0" w:rsidRPr="00577714" w:rsidRDefault="001E5F60" w:rsidP="00577714">
      <w:pPr>
        <w:spacing w:before="120" w:after="120" w:line="276" w:lineRule="auto"/>
        <w:ind w:firstLine="720"/>
        <w:jc w:val="both"/>
        <w:rPr>
          <w:rFonts w:asciiTheme="majorHAnsi" w:hAnsiTheme="majorHAnsi" w:cstheme="majorHAnsi"/>
          <w:b/>
          <w:bCs/>
          <w:i/>
          <w:iCs/>
          <w:color w:val="000000" w:themeColor="text1"/>
          <w:sz w:val="28"/>
          <w:szCs w:val="28"/>
          <w:lang w:val="en-US"/>
        </w:rPr>
      </w:pPr>
      <w:r w:rsidRPr="00577714">
        <w:rPr>
          <w:rFonts w:asciiTheme="majorHAnsi" w:hAnsiTheme="majorHAnsi" w:cstheme="majorHAnsi"/>
          <w:b/>
          <w:bCs/>
          <w:i/>
          <w:iCs/>
          <w:color w:val="000000" w:themeColor="text1"/>
          <w:sz w:val="28"/>
          <w:szCs w:val="28"/>
        </w:rPr>
        <w:t>3. Trường hợp không có nhà đầu tư nào nộp hồ sơ dự thầu</w:t>
      </w:r>
    </w:p>
    <w:p w14:paraId="64D03252" w14:textId="114423AE" w:rsidR="001E5F60" w:rsidRPr="00577714" w:rsidRDefault="001E5F60" w:rsidP="00577714">
      <w:pPr>
        <w:spacing w:before="120" w:after="120" w:line="276" w:lineRule="auto"/>
        <w:ind w:firstLine="720"/>
        <w:jc w:val="both"/>
        <w:rPr>
          <w:rFonts w:asciiTheme="majorHAnsi" w:hAnsiTheme="majorHAnsi" w:cstheme="majorHAnsi"/>
          <w:iCs/>
          <w:color w:val="000000" w:themeColor="text1"/>
          <w:sz w:val="28"/>
          <w:szCs w:val="28"/>
        </w:rPr>
      </w:pPr>
      <w:r w:rsidRPr="00577714">
        <w:rPr>
          <w:rFonts w:asciiTheme="majorHAnsi" w:hAnsiTheme="majorHAnsi" w:cstheme="majorHAnsi"/>
          <w:iCs/>
          <w:color w:val="000000" w:themeColor="text1"/>
          <w:sz w:val="28"/>
          <w:szCs w:val="28"/>
        </w:rPr>
        <w:t>Theo quy định tại Khoản 31, Điều 1 Nghị định 71/2025/NĐ-CP ngày 28/3/2025 của Chính phủ sửa đổi, bổ sung một số điều của Nghị định số 35/2021/NĐ-CP ngày 29/3/2021 của Chính phủ quy định chi tiết và hướng dẫn thi hành Luật đầu tư theo phương thức đối tác công tư:</w:t>
      </w:r>
    </w:p>
    <w:p w14:paraId="222771E5" w14:textId="77777777" w:rsidR="001E5F60" w:rsidRPr="00577714" w:rsidRDefault="001E5F60" w:rsidP="00577714">
      <w:pPr>
        <w:spacing w:before="120" w:after="120" w:line="276" w:lineRule="auto"/>
        <w:ind w:firstLine="720"/>
        <w:jc w:val="both"/>
        <w:rPr>
          <w:rFonts w:asciiTheme="majorHAnsi" w:hAnsiTheme="majorHAnsi" w:cstheme="majorHAnsi"/>
          <w:i/>
          <w:color w:val="000000" w:themeColor="text1"/>
          <w:sz w:val="28"/>
          <w:szCs w:val="28"/>
        </w:rPr>
      </w:pPr>
      <w:r w:rsidRPr="00577714">
        <w:rPr>
          <w:rFonts w:asciiTheme="majorHAnsi" w:hAnsiTheme="majorHAnsi" w:cstheme="majorHAnsi"/>
          <w:color w:val="000000" w:themeColor="text1"/>
          <w:sz w:val="28"/>
          <w:szCs w:val="28"/>
        </w:rPr>
        <w:t>“</w:t>
      </w:r>
      <w:r w:rsidRPr="00577714">
        <w:rPr>
          <w:rFonts w:asciiTheme="majorHAnsi" w:hAnsiTheme="majorHAnsi" w:cstheme="majorHAnsi"/>
          <w:i/>
          <w:color w:val="000000" w:themeColor="text1"/>
          <w:sz w:val="28"/>
          <w:szCs w:val="28"/>
        </w:rPr>
        <w:t>3a. Đối với dự án tổ chức sơ tuyển, đấu thầu rộng rãi không sơ tuyển, đàm phán cạnh tranh theo quy định tại khoản 2 và khoản 3 Điều 38 của Luật PPP, trường hợp tại thời điểm đóng thầu không có nhà đầu tư nào nộp hồ sơ dự sơ tuyển, hồ sơ dự đàm phán, hồ sơ dự thầu, bên mời thầu báo cáo cơ quan có thẩm quyền xem xét, giải quyết theo một trong các cách sau đây:</w:t>
      </w:r>
    </w:p>
    <w:p w14:paraId="5E492C91" w14:textId="77777777" w:rsidR="001E5F60" w:rsidRPr="00577714" w:rsidRDefault="001E5F60" w:rsidP="00577714">
      <w:pPr>
        <w:spacing w:before="120" w:after="120" w:line="276" w:lineRule="auto"/>
        <w:ind w:firstLine="720"/>
        <w:jc w:val="both"/>
        <w:rPr>
          <w:rFonts w:asciiTheme="majorHAnsi" w:hAnsiTheme="majorHAnsi" w:cstheme="majorHAnsi"/>
          <w:i/>
          <w:color w:val="000000" w:themeColor="text1"/>
          <w:sz w:val="28"/>
          <w:szCs w:val="28"/>
        </w:rPr>
      </w:pPr>
      <w:r w:rsidRPr="00577714">
        <w:rPr>
          <w:rFonts w:asciiTheme="majorHAnsi" w:hAnsiTheme="majorHAnsi" w:cstheme="majorHAnsi"/>
          <w:i/>
          <w:color w:val="000000" w:themeColor="text1"/>
          <w:sz w:val="28"/>
          <w:szCs w:val="28"/>
        </w:rPr>
        <w:t>a) Cho phép gia hạn thời điểm đóng thầu tối đa 30 ngày;</w:t>
      </w:r>
    </w:p>
    <w:p w14:paraId="383F905E" w14:textId="77777777" w:rsidR="001E5F60" w:rsidRPr="00577714" w:rsidRDefault="001E5F60" w:rsidP="00577714">
      <w:pPr>
        <w:spacing w:before="120" w:after="120" w:line="276" w:lineRule="auto"/>
        <w:ind w:firstLine="720"/>
        <w:jc w:val="both"/>
        <w:rPr>
          <w:rFonts w:asciiTheme="majorHAnsi" w:hAnsiTheme="majorHAnsi" w:cstheme="majorHAnsi"/>
          <w:i/>
          <w:color w:val="000000" w:themeColor="text1"/>
          <w:sz w:val="28"/>
          <w:szCs w:val="28"/>
        </w:rPr>
      </w:pPr>
      <w:r w:rsidRPr="00577714">
        <w:rPr>
          <w:rFonts w:asciiTheme="majorHAnsi" w:hAnsiTheme="majorHAnsi" w:cstheme="majorHAnsi"/>
          <w:i/>
          <w:color w:val="000000" w:themeColor="text1"/>
          <w:sz w:val="28"/>
          <w:szCs w:val="28"/>
        </w:rPr>
        <w:t>b) Quyết định hủy thông báo mời thầu, đồng thời rà soát, điều chỉnh báo cáo nghiên cứu khả thi (nếu cần), hồ sơ mời sơ tuyển, hồ sơ mời đàm phán, hồ sơ mời thầu và tổ chức lại việc lựa chọn nhà đầu tư;</w:t>
      </w:r>
    </w:p>
    <w:p w14:paraId="195CC6C4" w14:textId="1F7C979F" w:rsidR="005C747A" w:rsidRPr="00577714" w:rsidRDefault="001E5F60" w:rsidP="00577714">
      <w:pPr>
        <w:spacing w:before="120" w:after="120" w:line="252" w:lineRule="auto"/>
        <w:ind w:firstLine="720"/>
        <w:jc w:val="both"/>
        <w:rPr>
          <w:rFonts w:asciiTheme="majorHAnsi" w:hAnsiTheme="majorHAnsi" w:cstheme="majorHAnsi"/>
          <w:color w:val="000000" w:themeColor="text1"/>
          <w:spacing w:val="-4"/>
          <w:sz w:val="28"/>
          <w:szCs w:val="28"/>
          <w:lang w:val="en-US"/>
        </w:rPr>
      </w:pPr>
      <w:r w:rsidRPr="00577714">
        <w:rPr>
          <w:rFonts w:asciiTheme="majorHAnsi" w:hAnsiTheme="majorHAnsi" w:cstheme="majorHAnsi"/>
          <w:i/>
          <w:color w:val="000000" w:themeColor="text1"/>
          <w:spacing w:val="-4"/>
          <w:sz w:val="28"/>
          <w:szCs w:val="28"/>
        </w:rPr>
        <w:t>c) Quyết định hủy thông báo mời thầu và dừng chủ trương đầu tư của dự án.</w:t>
      </w:r>
      <w:r w:rsidR="005C747A" w:rsidRPr="00577714">
        <w:rPr>
          <w:rFonts w:asciiTheme="majorHAnsi" w:hAnsiTheme="majorHAnsi" w:cstheme="majorHAnsi"/>
          <w:color w:val="000000" w:themeColor="text1"/>
          <w:spacing w:val="-4"/>
          <w:sz w:val="28"/>
          <w:szCs w:val="28"/>
          <w:lang w:val="en-US"/>
        </w:rPr>
        <w:t>”</w:t>
      </w:r>
    </w:p>
    <w:p w14:paraId="3377BFB2" w14:textId="1454EE9C" w:rsidR="009A3A4D" w:rsidRPr="00577714" w:rsidRDefault="0013516B" w:rsidP="00577714">
      <w:pPr>
        <w:spacing w:before="120" w:after="120" w:line="276" w:lineRule="auto"/>
        <w:ind w:firstLine="720"/>
        <w:jc w:val="both"/>
        <w:rPr>
          <w:rFonts w:asciiTheme="majorHAnsi" w:hAnsiTheme="majorHAnsi" w:cstheme="majorHAnsi"/>
          <w:b/>
          <w:bCs/>
          <w:color w:val="000000" w:themeColor="text1"/>
          <w:sz w:val="28"/>
          <w:szCs w:val="28"/>
          <w:lang w:val="en-US"/>
        </w:rPr>
      </w:pPr>
      <w:r w:rsidRPr="00577714">
        <w:rPr>
          <w:rFonts w:asciiTheme="majorHAnsi" w:hAnsiTheme="majorHAnsi" w:cstheme="majorHAnsi"/>
          <w:b/>
          <w:bCs/>
          <w:color w:val="000000" w:themeColor="text1"/>
          <w:sz w:val="28"/>
          <w:szCs w:val="28"/>
          <w:lang w:val="en-US"/>
        </w:rPr>
        <w:lastRenderedPageBreak/>
        <w:t>II</w:t>
      </w:r>
      <w:r w:rsidR="009A3A4D" w:rsidRPr="00577714">
        <w:rPr>
          <w:rFonts w:asciiTheme="majorHAnsi" w:hAnsiTheme="majorHAnsi" w:cstheme="majorHAnsi"/>
          <w:b/>
          <w:bCs/>
          <w:color w:val="000000" w:themeColor="text1"/>
          <w:sz w:val="28"/>
          <w:szCs w:val="28"/>
          <w:lang w:val="en-US"/>
        </w:rPr>
        <w:t>. Đề xuất</w:t>
      </w:r>
      <w:r w:rsidRPr="00577714">
        <w:rPr>
          <w:rFonts w:asciiTheme="majorHAnsi" w:hAnsiTheme="majorHAnsi" w:cstheme="majorHAnsi"/>
          <w:b/>
          <w:bCs/>
          <w:color w:val="000000" w:themeColor="text1"/>
          <w:sz w:val="28"/>
          <w:szCs w:val="28"/>
          <w:lang w:val="en-US"/>
        </w:rPr>
        <w:t>,</w:t>
      </w:r>
      <w:r w:rsidR="009A3A4D" w:rsidRPr="00577714">
        <w:rPr>
          <w:rFonts w:asciiTheme="majorHAnsi" w:hAnsiTheme="majorHAnsi" w:cstheme="majorHAnsi"/>
          <w:b/>
          <w:bCs/>
          <w:color w:val="000000" w:themeColor="text1"/>
          <w:sz w:val="28"/>
          <w:szCs w:val="28"/>
          <w:lang w:val="en-US"/>
        </w:rPr>
        <w:t xml:space="preserve"> kiến nghị</w:t>
      </w:r>
    </w:p>
    <w:p w14:paraId="1379B869" w14:textId="05A1B51F" w:rsidR="00E667A8" w:rsidRDefault="009A3A4D" w:rsidP="00577714">
      <w:pPr>
        <w:spacing w:before="120" w:after="120" w:line="276" w:lineRule="auto"/>
        <w:ind w:firstLine="720"/>
        <w:jc w:val="both"/>
        <w:rPr>
          <w:rFonts w:asciiTheme="majorHAnsi" w:hAnsiTheme="majorHAnsi" w:cstheme="majorHAnsi"/>
          <w:sz w:val="28"/>
          <w:szCs w:val="28"/>
          <w:lang w:val="en-US"/>
        </w:rPr>
      </w:pPr>
      <w:r w:rsidRPr="00577714">
        <w:rPr>
          <w:rFonts w:asciiTheme="majorHAnsi" w:hAnsiTheme="majorHAnsi" w:cstheme="majorHAnsi"/>
          <w:spacing w:val="-4"/>
          <w:sz w:val="28"/>
          <w:szCs w:val="28"/>
          <w:lang w:val="en-US"/>
        </w:rPr>
        <w:t>Theo quy định t</w:t>
      </w:r>
      <w:r w:rsidRPr="00577714">
        <w:rPr>
          <w:rFonts w:asciiTheme="majorHAnsi" w:hAnsiTheme="majorHAnsi" w:cstheme="majorHAnsi"/>
          <w:spacing w:val="-4"/>
          <w:sz w:val="28"/>
          <w:szCs w:val="28"/>
        </w:rPr>
        <w:t xml:space="preserve">ại Khoản </w:t>
      </w:r>
      <w:r w:rsidRPr="00577714">
        <w:rPr>
          <w:rFonts w:asciiTheme="majorHAnsi" w:hAnsiTheme="majorHAnsi" w:cstheme="majorHAnsi"/>
          <w:spacing w:val="-4"/>
          <w:sz w:val="28"/>
          <w:szCs w:val="28"/>
          <w:lang w:val="en-US"/>
        </w:rPr>
        <w:t xml:space="preserve">1 </w:t>
      </w:r>
      <w:r w:rsidRPr="00577714">
        <w:rPr>
          <w:rFonts w:asciiTheme="majorHAnsi" w:hAnsiTheme="majorHAnsi" w:cstheme="majorHAnsi"/>
          <w:spacing w:val="-4"/>
          <w:sz w:val="28"/>
          <w:szCs w:val="28"/>
        </w:rPr>
        <w:t xml:space="preserve">Điều </w:t>
      </w:r>
      <w:r w:rsidRPr="00577714">
        <w:rPr>
          <w:rFonts w:asciiTheme="majorHAnsi" w:hAnsiTheme="majorHAnsi" w:cstheme="majorHAnsi"/>
          <w:spacing w:val="-4"/>
          <w:sz w:val="28"/>
          <w:szCs w:val="28"/>
          <w:lang w:val="en-US"/>
        </w:rPr>
        <w:t>55 Nghị định 35/2021/NĐ-CP ngày 29/3/2021 của Chính phủ quy định chi tiết và hướng dẫn thi hành Luật Đầu tư theo phương thức đối tác công tư </w:t>
      </w:r>
      <w:r w:rsidRPr="00DF6105">
        <w:rPr>
          <w:rFonts w:asciiTheme="majorHAnsi" w:hAnsiTheme="majorHAnsi" w:cstheme="majorHAnsi"/>
          <w:i/>
          <w:iCs/>
          <w:spacing w:val="-4"/>
          <w:sz w:val="28"/>
          <w:szCs w:val="28"/>
          <w:lang w:val="en-US"/>
        </w:rPr>
        <w:t>“Việc mở hồ sơ đề xuất về kỹ thuật phải được tiến hành công khai và bắt đầu ngay trong vòng 01 giờ, kể từ thời điểm đóng thầu. Biên bản mở thầu phải được gửi cho các nhà đầu tư tham dự thầu”</w:t>
      </w:r>
      <w:r w:rsidRPr="00577714">
        <w:rPr>
          <w:rFonts w:asciiTheme="majorHAnsi" w:hAnsiTheme="majorHAnsi" w:cstheme="majorHAnsi"/>
          <w:spacing w:val="-4"/>
          <w:sz w:val="28"/>
          <w:szCs w:val="28"/>
          <w:lang w:val="en-US"/>
        </w:rPr>
        <w:t>.</w:t>
      </w:r>
      <w:r w:rsidR="00C04D86">
        <w:rPr>
          <w:rFonts w:asciiTheme="majorHAnsi" w:hAnsiTheme="majorHAnsi" w:cstheme="majorHAnsi"/>
          <w:spacing w:val="-4"/>
          <w:sz w:val="28"/>
          <w:szCs w:val="28"/>
          <w:lang w:val="en-US"/>
        </w:rPr>
        <w:t xml:space="preserve"> </w:t>
      </w:r>
      <w:r w:rsidR="00E667A8">
        <w:rPr>
          <w:rFonts w:asciiTheme="majorHAnsi" w:hAnsiTheme="majorHAnsi" w:cstheme="majorHAnsi"/>
          <w:sz w:val="28"/>
          <w:szCs w:val="28"/>
          <w:lang w:val="en-US"/>
        </w:rPr>
        <w:t>Do đó, để chủ động trong quá trình đấu thầu lựa chọn Nhà đầu tư, Ban Quản lý dự án giao thông kiến nghị như sau:</w:t>
      </w:r>
    </w:p>
    <w:p w14:paraId="224FAB57" w14:textId="6A81DFF5" w:rsidR="00E1607A" w:rsidRPr="00577714" w:rsidRDefault="0097225B" w:rsidP="00577714">
      <w:pPr>
        <w:spacing w:before="120" w:after="120" w:line="276" w:lineRule="auto"/>
        <w:ind w:firstLine="720"/>
        <w:jc w:val="both"/>
        <w:rPr>
          <w:rFonts w:asciiTheme="majorHAnsi" w:hAnsiTheme="majorHAnsi" w:cstheme="majorHAnsi"/>
          <w:iCs/>
          <w:sz w:val="28"/>
          <w:szCs w:val="28"/>
          <w:lang w:val="en-US"/>
        </w:rPr>
      </w:pPr>
      <w:r>
        <w:rPr>
          <w:rFonts w:asciiTheme="majorHAnsi" w:hAnsiTheme="majorHAnsi" w:cstheme="majorHAnsi"/>
          <w:sz w:val="28"/>
          <w:szCs w:val="28"/>
          <w:lang w:val="en-US"/>
        </w:rPr>
        <w:t xml:space="preserve">- Trường hợp </w:t>
      </w:r>
      <w:r w:rsidRPr="0097225B">
        <w:rPr>
          <w:rFonts w:asciiTheme="majorHAnsi" w:hAnsiTheme="majorHAnsi" w:cstheme="majorHAnsi"/>
          <w:sz w:val="28"/>
          <w:szCs w:val="28"/>
          <w:lang w:val="en-US"/>
        </w:rPr>
        <w:t xml:space="preserve">không có </w:t>
      </w:r>
      <w:r w:rsidR="00DF5031">
        <w:rPr>
          <w:rFonts w:asciiTheme="majorHAnsi" w:hAnsiTheme="majorHAnsi" w:cstheme="majorHAnsi"/>
          <w:sz w:val="28"/>
          <w:szCs w:val="28"/>
          <w:lang w:val="en-US"/>
        </w:rPr>
        <w:t>N</w:t>
      </w:r>
      <w:r w:rsidRPr="0097225B">
        <w:rPr>
          <w:rFonts w:asciiTheme="majorHAnsi" w:hAnsiTheme="majorHAnsi" w:cstheme="majorHAnsi"/>
          <w:sz w:val="28"/>
          <w:szCs w:val="28"/>
          <w:lang w:val="en-US"/>
        </w:rPr>
        <w:t>hà đầu tư nào nộp hồ sơ dự thầu</w:t>
      </w:r>
      <w:r>
        <w:rPr>
          <w:rFonts w:asciiTheme="majorHAnsi" w:hAnsiTheme="majorHAnsi" w:cstheme="majorHAnsi"/>
          <w:sz w:val="28"/>
          <w:szCs w:val="28"/>
          <w:lang w:val="en-US"/>
        </w:rPr>
        <w:t>:</w:t>
      </w:r>
      <w:r w:rsidRPr="0097225B">
        <w:rPr>
          <w:rFonts w:asciiTheme="majorHAnsi" w:hAnsiTheme="majorHAnsi" w:cstheme="majorHAnsi"/>
          <w:sz w:val="28"/>
          <w:szCs w:val="28"/>
          <w:lang w:val="en-US"/>
        </w:rPr>
        <w:t xml:space="preserve"> </w:t>
      </w:r>
      <w:r w:rsidR="00E84CAF">
        <w:rPr>
          <w:rFonts w:asciiTheme="majorHAnsi" w:hAnsiTheme="majorHAnsi" w:cstheme="majorHAnsi"/>
          <w:sz w:val="28"/>
          <w:szCs w:val="28"/>
          <w:lang w:val="en-US"/>
        </w:rPr>
        <w:t>Ban Quản lý dự án giao thông kiến nghị</w:t>
      </w:r>
      <w:r w:rsidR="00E1607A" w:rsidRPr="00577714">
        <w:rPr>
          <w:rFonts w:asciiTheme="majorHAnsi" w:hAnsiTheme="majorHAnsi" w:cstheme="majorHAnsi"/>
          <w:color w:val="000000" w:themeColor="text1"/>
          <w:sz w:val="28"/>
          <w:szCs w:val="28"/>
          <w:lang w:val="en-US"/>
        </w:rPr>
        <w:t xml:space="preserve"> Ủy ban nhân dân tỉnh lựa chọn xử lý tình huống theo cách gia hạn thời điểm đóng thầu</w:t>
      </w:r>
      <w:r w:rsidR="00E1622A">
        <w:rPr>
          <w:rFonts w:asciiTheme="majorHAnsi" w:hAnsiTheme="majorHAnsi" w:cstheme="majorHAnsi"/>
          <w:color w:val="000000" w:themeColor="text1"/>
          <w:sz w:val="28"/>
          <w:szCs w:val="28"/>
          <w:lang w:val="en-US"/>
        </w:rPr>
        <w:t xml:space="preserve"> đến thời điểm </w:t>
      </w:r>
      <w:r w:rsidR="00E1607A" w:rsidRPr="00577714">
        <w:rPr>
          <w:rFonts w:asciiTheme="majorHAnsi" w:hAnsiTheme="majorHAnsi" w:cstheme="majorHAnsi"/>
          <w:iCs/>
          <w:sz w:val="28"/>
          <w:szCs w:val="28"/>
          <w:lang w:val="en-US"/>
        </w:rPr>
        <w:t>08 giờ 00 phút ngày 2</w:t>
      </w:r>
      <w:r w:rsidR="00A85C10" w:rsidRPr="00577714">
        <w:rPr>
          <w:rFonts w:asciiTheme="majorHAnsi" w:hAnsiTheme="majorHAnsi" w:cstheme="majorHAnsi"/>
          <w:iCs/>
          <w:sz w:val="28"/>
          <w:szCs w:val="28"/>
          <w:lang w:val="en-US"/>
        </w:rPr>
        <w:t>0</w:t>
      </w:r>
      <w:r w:rsidR="00E1607A" w:rsidRPr="00577714">
        <w:rPr>
          <w:rFonts w:asciiTheme="majorHAnsi" w:hAnsiTheme="majorHAnsi" w:cstheme="majorHAnsi"/>
          <w:iCs/>
          <w:sz w:val="28"/>
          <w:szCs w:val="28"/>
          <w:lang w:val="en-US"/>
        </w:rPr>
        <w:t>/6</w:t>
      </w:r>
      <w:r w:rsidR="00E1607A" w:rsidRPr="00577714">
        <w:rPr>
          <w:rFonts w:asciiTheme="majorHAnsi" w:hAnsiTheme="majorHAnsi" w:cstheme="majorHAnsi"/>
          <w:iCs/>
          <w:sz w:val="28"/>
          <w:szCs w:val="28"/>
        </w:rPr>
        <w:t>/2025 (gia hạn 1</w:t>
      </w:r>
      <w:r w:rsidR="00A85C10" w:rsidRPr="00577714">
        <w:rPr>
          <w:rFonts w:asciiTheme="majorHAnsi" w:hAnsiTheme="majorHAnsi" w:cstheme="majorHAnsi"/>
          <w:iCs/>
          <w:sz w:val="28"/>
          <w:szCs w:val="28"/>
          <w:lang w:val="en-US"/>
        </w:rPr>
        <w:t>0</w:t>
      </w:r>
      <w:r w:rsidR="00E1607A" w:rsidRPr="00577714">
        <w:rPr>
          <w:rFonts w:asciiTheme="majorHAnsi" w:hAnsiTheme="majorHAnsi" w:cstheme="majorHAnsi"/>
          <w:iCs/>
          <w:sz w:val="28"/>
          <w:szCs w:val="28"/>
        </w:rPr>
        <w:t xml:space="preserve"> ngày kể từ ngày </w:t>
      </w:r>
      <w:r w:rsidR="00E1607A" w:rsidRPr="00577714">
        <w:rPr>
          <w:rFonts w:asciiTheme="majorHAnsi" w:hAnsiTheme="majorHAnsi" w:cstheme="majorHAnsi"/>
          <w:iCs/>
          <w:sz w:val="28"/>
          <w:szCs w:val="28"/>
          <w:lang w:val="en-US"/>
        </w:rPr>
        <w:t>10</w:t>
      </w:r>
      <w:r w:rsidR="00E1607A" w:rsidRPr="00577714">
        <w:rPr>
          <w:rFonts w:asciiTheme="majorHAnsi" w:hAnsiTheme="majorHAnsi" w:cstheme="majorHAnsi"/>
          <w:iCs/>
          <w:sz w:val="28"/>
          <w:szCs w:val="28"/>
        </w:rPr>
        <w:t>/</w:t>
      </w:r>
      <w:r w:rsidR="00E1607A" w:rsidRPr="00577714">
        <w:rPr>
          <w:rFonts w:asciiTheme="majorHAnsi" w:hAnsiTheme="majorHAnsi" w:cstheme="majorHAnsi"/>
          <w:iCs/>
          <w:sz w:val="28"/>
          <w:szCs w:val="28"/>
          <w:lang w:val="en-US"/>
        </w:rPr>
        <w:t>6</w:t>
      </w:r>
      <w:r w:rsidR="00E1607A" w:rsidRPr="00577714">
        <w:rPr>
          <w:rFonts w:asciiTheme="majorHAnsi" w:hAnsiTheme="majorHAnsi" w:cstheme="majorHAnsi"/>
          <w:iCs/>
          <w:sz w:val="28"/>
          <w:szCs w:val="28"/>
        </w:rPr>
        <w:t>/2025)</w:t>
      </w:r>
      <w:r>
        <w:rPr>
          <w:rFonts w:asciiTheme="majorHAnsi" w:hAnsiTheme="majorHAnsi" w:cstheme="majorHAnsi"/>
          <w:iCs/>
          <w:sz w:val="28"/>
          <w:szCs w:val="28"/>
          <w:lang w:val="en-US"/>
        </w:rPr>
        <w:t xml:space="preserve"> </w:t>
      </w:r>
      <w:r w:rsidR="00755AB1">
        <w:rPr>
          <w:rFonts w:asciiTheme="majorHAnsi" w:hAnsiTheme="majorHAnsi" w:cstheme="majorHAnsi"/>
          <w:sz w:val="28"/>
          <w:szCs w:val="28"/>
          <w:lang w:val="en-US"/>
        </w:rPr>
        <w:t>nhằm</w:t>
      </w:r>
      <w:r w:rsidRPr="00577714">
        <w:rPr>
          <w:rFonts w:asciiTheme="majorHAnsi" w:hAnsiTheme="majorHAnsi" w:cstheme="majorHAnsi"/>
          <w:sz w:val="28"/>
          <w:szCs w:val="28"/>
          <w:lang w:val="en-US"/>
        </w:rPr>
        <w:t xml:space="preserve"> tăng tính cạnh tranh trong lựa chọn Nhà đầu tư</w:t>
      </w:r>
      <w:r w:rsidR="009D0B94">
        <w:rPr>
          <w:rFonts w:asciiTheme="majorHAnsi" w:hAnsiTheme="majorHAnsi" w:cstheme="majorHAnsi"/>
          <w:sz w:val="28"/>
          <w:szCs w:val="28"/>
          <w:lang w:val="en-US"/>
        </w:rPr>
        <w:t>.</w:t>
      </w:r>
    </w:p>
    <w:p w14:paraId="263B8943" w14:textId="2F8BD05E" w:rsidR="001C5690" w:rsidRPr="00577714" w:rsidRDefault="004A61A8" w:rsidP="008F0AE2">
      <w:pPr>
        <w:spacing w:before="120" w:after="120" w:line="276" w:lineRule="auto"/>
        <w:ind w:firstLine="720"/>
        <w:jc w:val="both"/>
        <w:rPr>
          <w:rFonts w:asciiTheme="majorHAnsi" w:hAnsiTheme="majorHAnsi" w:cstheme="majorHAnsi"/>
          <w:sz w:val="28"/>
          <w:szCs w:val="28"/>
          <w:lang w:val="en-US"/>
        </w:rPr>
      </w:pPr>
      <w:r>
        <w:rPr>
          <w:rFonts w:asciiTheme="majorHAnsi" w:hAnsiTheme="majorHAnsi" w:cstheme="majorHAnsi"/>
          <w:iCs/>
          <w:sz w:val="28"/>
          <w:szCs w:val="28"/>
          <w:lang w:val="en-US"/>
        </w:rPr>
        <w:t xml:space="preserve">- Trường hợp </w:t>
      </w:r>
      <w:r w:rsidRPr="004A61A8">
        <w:rPr>
          <w:rFonts w:asciiTheme="majorHAnsi" w:hAnsiTheme="majorHAnsi" w:cstheme="majorHAnsi"/>
          <w:iCs/>
          <w:sz w:val="28"/>
          <w:szCs w:val="28"/>
          <w:lang w:val="en-US"/>
        </w:rPr>
        <w:t xml:space="preserve">có ít hơn 03 </w:t>
      </w:r>
      <w:r w:rsidR="00DF5031">
        <w:rPr>
          <w:rFonts w:asciiTheme="majorHAnsi" w:hAnsiTheme="majorHAnsi" w:cstheme="majorHAnsi"/>
          <w:iCs/>
          <w:sz w:val="28"/>
          <w:szCs w:val="28"/>
          <w:lang w:val="en-US"/>
        </w:rPr>
        <w:t>N</w:t>
      </w:r>
      <w:r w:rsidRPr="004A61A8">
        <w:rPr>
          <w:rFonts w:asciiTheme="majorHAnsi" w:hAnsiTheme="majorHAnsi" w:cstheme="majorHAnsi"/>
          <w:iCs/>
          <w:sz w:val="28"/>
          <w:szCs w:val="28"/>
          <w:lang w:val="en-US"/>
        </w:rPr>
        <w:t>hà đầu tư nộp hồ sơ dự thầu</w:t>
      </w:r>
      <w:r w:rsidR="008F0AE2">
        <w:rPr>
          <w:rFonts w:asciiTheme="majorHAnsi" w:hAnsiTheme="majorHAnsi" w:cstheme="majorHAnsi"/>
          <w:iCs/>
          <w:sz w:val="28"/>
          <w:szCs w:val="28"/>
          <w:lang w:val="en-US"/>
        </w:rPr>
        <w:t>:</w:t>
      </w:r>
      <w:r w:rsidR="001C5690" w:rsidRPr="00577714">
        <w:rPr>
          <w:rFonts w:asciiTheme="majorHAnsi" w:hAnsiTheme="majorHAnsi" w:cstheme="majorHAnsi"/>
          <w:sz w:val="28"/>
          <w:szCs w:val="28"/>
          <w:lang w:val="en-US"/>
        </w:rPr>
        <w:t xml:space="preserve"> Ban Quản lý dự án thông kiến nghị </w:t>
      </w:r>
      <w:r w:rsidR="00E908E2" w:rsidRPr="00577714">
        <w:rPr>
          <w:rFonts w:asciiTheme="majorHAnsi" w:hAnsiTheme="majorHAnsi" w:cstheme="majorHAnsi"/>
          <w:sz w:val="28"/>
          <w:szCs w:val="28"/>
          <w:lang w:val="en-US"/>
        </w:rPr>
        <w:t>Ủy ban nhân dân</w:t>
      </w:r>
      <w:r w:rsidR="001C5690" w:rsidRPr="00577714">
        <w:rPr>
          <w:rFonts w:asciiTheme="majorHAnsi" w:hAnsiTheme="majorHAnsi" w:cstheme="majorHAnsi"/>
          <w:sz w:val="28"/>
          <w:szCs w:val="28"/>
          <w:lang w:val="en-US"/>
        </w:rPr>
        <w:t xml:space="preserve"> tỉnh chấp thuận theo phương án cho phép mở thầu ngay theo quy định tại </w:t>
      </w:r>
      <w:r w:rsidR="001C5690" w:rsidRPr="00577714">
        <w:rPr>
          <w:rFonts w:asciiTheme="majorHAnsi" w:hAnsiTheme="majorHAnsi" w:cstheme="majorHAnsi"/>
          <w:iCs/>
          <w:sz w:val="28"/>
          <w:szCs w:val="28"/>
        </w:rPr>
        <w:t xml:space="preserve">Khoản 3 </w:t>
      </w:r>
      <w:r w:rsidR="00A85C10" w:rsidRPr="00577714">
        <w:rPr>
          <w:rFonts w:asciiTheme="majorHAnsi" w:hAnsiTheme="majorHAnsi" w:cstheme="majorHAnsi"/>
          <w:iCs/>
          <w:sz w:val="28"/>
          <w:szCs w:val="28"/>
          <w:lang w:val="en-US"/>
        </w:rPr>
        <w:t>Đ</w:t>
      </w:r>
      <w:r w:rsidR="001C5690" w:rsidRPr="00577714">
        <w:rPr>
          <w:rFonts w:asciiTheme="majorHAnsi" w:hAnsiTheme="majorHAnsi" w:cstheme="majorHAnsi"/>
          <w:iCs/>
          <w:sz w:val="28"/>
          <w:szCs w:val="28"/>
        </w:rPr>
        <w:t>iều 83 Nghị định 35/2021/NĐ-CP ngày 29/3/2021</w:t>
      </w:r>
      <w:r w:rsidR="001C5690" w:rsidRPr="00577714">
        <w:rPr>
          <w:rFonts w:asciiTheme="majorHAnsi" w:hAnsiTheme="majorHAnsi" w:cstheme="majorHAnsi"/>
          <w:iCs/>
          <w:sz w:val="28"/>
          <w:szCs w:val="28"/>
          <w:lang w:val="en-US"/>
        </w:rPr>
        <w:t xml:space="preserve"> để tiến hành đánh giá nhằm </w:t>
      </w:r>
      <w:r w:rsidR="00A85C10" w:rsidRPr="00577714">
        <w:rPr>
          <w:rFonts w:asciiTheme="majorHAnsi" w:hAnsiTheme="majorHAnsi" w:cstheme="majorHAnsi"/>
          <w:iCs/>
          <w:sz w:val="28"/>
          <w:szCs w:val="28"/>
          <w:lang w:val="en-US"/>
        </w:rPr>
        <w:t>đảm bảo tiến độ triển khai dự án</w:t>
      </w:r>
      <w:r w:rsidR="00C41C70" w:rsidRPr="00577714">
        <w:rPr>
          <w:rFonts w:asciiTheme="majorHAnsi" w:hAnsiTheme="majorHAnsi" w:cstheme="majorHAnsi"/>
          <w:iCs/>
          <w:sz w:val="28"/>
          <w:szCs w:val="28"/>
          <w:lang w:val="en-US"/>
        </w:rPr>
        <w:t>.</w:t>
      </w:r>
    </w:p>
    <w:p w14:paraId="78E55563" w14:textId="432D08D8" w:rsidR="006E29CF" w:rsidRPr="00F45FD2" w:rsidRDefault="0014130C" w:rsidP="00577714">
      <w:pPr>
        <w:spacing w:before="120" w:after="120" w:line="276" w:lineRule="auto"/>
        <w:ind w:firstLine="720"/>
        <w:jc w:val="both"/>
        <w:rPr>
          <w:color w:val="000000" w:themeColor="text1"/>
          <w:sz w:val="28"/>
          <w:szCs w:val="28"/>
          <w:lang w:val="en-US"/>
        </w:rPr>
      </w:pPr>
      <w:r w:rsidRPr="00577714">
        <w:rPr>
          <w:rFonts w:asciiTheme="majorHAnsi" w:hAnsiTheme="majorHAnsi" w:cstheme="majorHAnsi"/>
          <w:color w:val="000000" w:themeColor="text1"/>
          <w:sz w:val="28"/>
          <w:szCs w:val="28"/>
          <w:lang w:val="en-US"/>
        </w:rPr>
        <w:t xml:space="preserve">Trên đây là báo cáo và đề xuất của Ban Quản lý dự án giao thông về việc </w:t>
      </w:r>
      <w:r w:rsidRPr="00577714">
        <w:rPr>
          <w:rFonts w:asciiTheme="majorHAnsi" w:hAnsiTheme="majorHAnsi" w:cstheme="majorHAnsi"/>
          <w:color w:val="000000" w:themeColor="text1"/>
          <w:sz w:val="28"/>
          <w:szCs w:val="28"/>
          <w:lang w:val="en-US"/>
        </w:rPr>
        <w:t>xử lý tình huống tại thời điểm đóng thầu</w:t>
      </w:r>
      <w:r w:rsidRPr="00577714">
        <w:rPr>
          <w:rFonts w:asciiTheme="majorHAnsi" w:hAnsiTheme="majorHAnsi" w:cstheme="majorHAnsi"/>
          <w:color w:val="000000" w:themeColor="text1"/>
          <w:sz w:val="28"/>
          <w:szCs w:val="28"/>
          <w:lang w:val="en-US"/>
        </w:rPr>
        <w:t xml:space="preserve"> lựa chọn Nhà đầu tư</w:t>
      </w:r>
      <w:r w:rsidRPr="00577714">
        <w:rPr>
          <w:rFonts w:asciiTheme="majorHAnsi" w:hAnsiTheme="majorHAnsi" w:cstheme="majorHAnsi"/>
          <w:color w:val="000000" w:themeColor="text1"/>
          <w:sz w:val="28"/>
          <w:szCs w:val="28"/>
          <w:lang w:val="en-US"/>
        </w:rPr>
        <w:t xml:space="preserve"> Dự án Đầu tư xây dựng đường bộ cao tốc Bảo Lộc – Liên Khương theo phương thức đối tác công tư (giai đoạn 1)</w:t>
      </w:r>
      <w:r w:rsidRPr="00577714">
        <w:rPr>
          <w:rFonts w:asciiTheme="majorHAnsi" w:hAnsiTheme="majorHAnsi" w:cstheme="majorHAnsi"/>
          <w:color w:val="000000" w:themeColor="text1"/>
          <w:sz w:val="28"/>
          <w:szCs w:val="28"/>
          <w:lang w:val="en-US"/>
        </w:rPr>
        <w:t>, k</w:t>
      </w:r>
      <w:r w:rsidR="00C04C7B" w:rsidRPr="00577714">
        <w:rPr>
          <w:rFonts w:asciiTheme="majorHAnsi" w:hAnsiTheme="majorHAnsi" w:cstheme="majorHAnsi"/>
          <w:color w:val="000000" w:themeColor="text1"/>
          <w:sz w:val="28"/>
          <w:szCs w:val="28"/>
          <w:lang w:val="en-US"/>
        </w:rPr>
        <w:t>ính trình Ủy ban nhân dân tỉnh xem xét, chỉ đạo để</w:t>
      </w:r>
      <w:r w:rsidR="00391FA6" w:rsidRPr="00577714">
        <w:rPr>
          <w:rFonts w:asciiTheme="majorHAnsi" w:hAnsiTheme="majorHAnsi" w:cstheme="majorHAnsi"/>
          <w:color w:val="000000" w:themeColor="text1"/>
          <w:sz w:val="28"/>
          <w:szCs w:val="28"/>
          <w:lang w:val="en-US"/>
        </w:rPr>
        <w:t xml:space="preserve"> đơn vị triển khai</w:t>
      </w:r>
      <w:r w:rsidR="00C04C7B" w:rsidRPr="00577714">
        <w:rPr>
          <w:rFonts w:asciiTheme="majorHAnsi" w:hAnsiTheme="majorHAnsi" w:cstheme="majorHAnsi"/>
          <w:color w:val="000000" w:themeColor="text1"/>
          <w:sz w:val="28"/>
          <w:szCs w:val="28"/>
          <w:lang w:val="en-US"/>
        </w:rPr>
        <w:t xml:space="preserve"> thực hiện các bước tiếp theo đáp ứng tiến độ, nhu cầu thực hiện dự án theo quy định.</w:t>
      </w:r>
      <w:r w:rsidR="00F45FD2" w:rsidRPr="00577714">
        <w:rPr>
          <w:rFonts w:asciiTheme="majorHAnsi" w:hAnsiTheme="majorHAnsi" w:cstheme="majorHAnsi"/>
          <w:color w:val="000000" w:themeColor="text1"/>
          <w:sz w:val="28"/>
          <w:szCs w:val="28"/>
          <w:lang w:val="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8"/>
      </w:tblGrid>
      <w:tr w:rsidR="00FE65C5" w:rsidRPr="00FE65C5" w14:paraId="04A7C891" w14:textId="77777777" w:rsidTr="008321D7">
        <w:trPr>
          <w:jc w:val="center"/>
        </w:trPr>
        <w:tc>
          <w:tcPr>
            <w:tcW w:w="4673" w:type="dxa"/>
            <w:vAlign w:val="center"/>
          </w:tcPr>
          <w:p w14:paraId="6B20E01D" w14:textId="347F5F92" w:rsidR="00877C22" w:rsidRPr="00FE65C5" w:rsidRDefault="00877C22" w:rsidP="00617756">
            <w:pPr>
              <w:spacing w:after="80" w:line="240" w:lineRule="auto"/>
              <w:rPr>
                <w:b/>
                <w:bCs/>
                <w:i/>
                <w:iCs/>
                <w:color w:val="000000" w:themeColor="text1"/>
                <w:sz w:val="26"/>
                <w:szCs w:val="26"/>
                <w:lang w:val="en-US"/>
              </w:rPr>
            </w:pPr>
            <w:r w:rsidRPr="007757AD">
              <w:rPr>
                <w:b/>
                <w:bCs/>
                <w:i/>
                <w:iCs/>
                <w:color w:val="000000" w:themeColor="text1"/>
                <w:sz w:val="24"/>
                <w:szCs w:val="24"/>
                <w:lang w:val="en-US"/>
              </w:rPr>
              <w:t>Nơi nhận:</w:t>
            </w:r>
          </w:p>
        </w:tc>
        <w:tc>
          <w:tcPr>
            <w:tcW w:w="4388" w:type="dxa"/>
            <w:vAlign w:val="center"/>
          </w:tcPr>
          <w:p w14:paraId="6742B1B1" w14:textId="20EE085E" w:rsidR="00877C22" w:rsidRPr="00FE65C5" w:rsidRDefault="00617756" w:rsidP="00617756">
            <w:pPr>
              <w:spacing w:after="80" w:line="240" w:lineRule="auto"/>
              <w:jc w:val="center"/>
              <w:rPr>
                <w:b/>
                <w:bCs/>
                <w:color w:val="000000" w:themeColor="text1"/>
                <w:sz w:val="28"/>
                <w:szCs w:val="28"/>
                <w:lang w:val="en-US"/>
              </w:rPr>
            </w:pPr>
            <w:r w:rsidRPr="00FE65C5">
              <w:rPr>
                <w:b/>
                <w:bCs/>
                <w:color w:val="000000" w:themeColor="text1"/>
                <w:sz w:val="28"/>
                <w:szCs w:val="28"/>
                <w:lang w:val="en-US"/>
              </w:rPr>
              <w:t>GIÁM ĐỐC</w:t>
            </w:r>
          </w:p>
        </w:tc>
      </w:tr>
      <w:tr w:rsidR="00877C22" w:rsidRPr="00FE65C5" w14:paraId="087E6785" w14:textId="77777777" w:rsidTr="008321D7">
        <w:trPr>
          <w:jc w:val="center"/>
        </w:trPr>
        <w:tc>
          <w:tcPr>
            <w:tcW w:w="4673" w:type="dxa"/>
          </w:tcPr>
          <w:p w14:paraId="0FD72F37" w14:textId="77777777" w:rsidR="00B46634" w:rsidRDefault="00B46634" w:rsidP="00B46634">
            <w:pPr>
              <w:spacing w:line="240" w:lineRule="auto"/>
              <w:rPr>
                <w:color w:val="000000" w:themeColor="text1"/>
                <w:lang w:val="en-US"/>
              </w:rPr>
            </w:pPr>
            <w:r w:rsidRPr="00B46634">
              <w:rPr>
                <w:color w:val="000000" w:themeColor="text1"/>
                <w:lang w:val="en-US"/>
              </w:rPr>
              <w:t>- Như trên;</w:t>
            </w:r>
          </w:p>
          <w:p w14:paraId="7720E619" w14:textId="4BAF1C14" w:rsidR="00B46634" w:rsidRPr="00B46634" w:rsidRDefault="00B46634" w:rsidP="00B46634">
            <w:pPr>
              <w:spacing w:line="240" w:lineRule="auto"/>
              <w:rPr>
                <w:color w:val="000000" w:themeColor="text1"/>
                <w:lang w:val="en-US"/>
              </w:rPr>
            </w:pPr>
            <w:r>
              <w:rPr>
                <w:color w:val="000000" w:themeColor="text1"/>
                <w:lang w:val="en-US"/>
              </w:rPr>
              <w:t>- Sở Tài chính;</w:t>
            </w:r>
          </w:p>
          <w:p w14:paraId="4D3B0727" w14:textId="5D74972D" w:rsidR="00B46634" w:rsidRPr="00B46634" w:rsidRDefault="00B46634" w:rsidP="00B46634">
            <w:pPr>
              <w:spacing w:line="240" w:lineRule="auto"/>
              <w:rPr>
                <w:color w:val="000000" w:themeColor="text1"/>
                <w:lang w:val="en-US"/>
              </w:rPr>
            </w:pPr>
            <w:r w:rsidRPr="00B46634">
              <w:rPr>
                <w:color w:val="000000" w:themeColor="text1"/>
                <w:lang w:val="en-US"/>
              </w:rPr>
              <w:t>- Ban Giám đốc;</w:t>
            </w:r>
          </w:p>
          <w:p w14:paraId="6C8E4985" w14:textId="77777777" w:rsidR="00B46634" w:rsidRPr="00B46634" w:rsidRDefault="00B46634" w:rsidP="00B46634">
            <w:pPr>
              <w:spacing w:line="240" w:lineRule="auto"/>
              <w:rPr>
                <w:color w:val="000000" w:themeColor="text1"/>
                <w:lang w:val="en-US"/>
              </w:rPr>
            </w:pPr>
            <w:r w:rsidRPr="00B46634">
              <w:rPr>
                <w:color w:val="000000" w:themeColor="text1"/>
                <w:lang w:val="en-US"/>
              </w:rPr>
              <w:t>- Trang Thông tin điện tử;</w:t>
            </w:r>
          </w:p>
          <w:p w14:paraId="33C6206B" w14:textId="12FA0143" w:rsidR="00617756" w:rsidRPr="00FE65C5" w:rsidRDefault="00B46634" w:rsidP="00B46634">
            <w:pPr>
              <w:spacing w:line="240" w:lineRule="auto"/>
              <w:rPr>
                <w:color w:val="000000" w:themeColor="text1"/>
                <w:sz w:val="28"/>
                <w:szCs w:val="28"/>
                <w:lang w:val="en-US"/>
              </w:rPr>
            </w:pPr>
            <w:r w:rsidRPr="00B46634">
              <w:rPr>
                <w:color w:val="000000" w:themeColor="text1"/>
                <w:lang w:val="en-US"/>
              </w:rPr>
              <w:t>- Lưu: VT, P.ĐHDA, P.TC-KH.</w:t>
            </w:r>
          </w:p>
        </w:tc>
        <w:tc>
          <w:tcPr>
            <w:tcW w:w="4388" w:type="dxa"/>
          </w:tcPr>
          <w:p w14:paraId="27799BFC" w14:textId="77777777" w:rsidR="0055178D" w:rsidRPr="00FE65C5" w:rsidRDefault="0055178D" w:rsidP="000D4E7E">
            <w:pPr>
              <w:spacing w:after="80" w:line="240" w:lineRule="auto"/>
              <w:rPr>
                <w:b/>
                <w:bCs/>
                <w:color w:val="000000" w:themeColor="text1"/>
                <w:sz w:val="28"/>
                <w:szCs w:val="28"/>
                <w:lang w:val="en-US"/>
              </w:rPr>
            </w:pPr>
          </w:p>
          <w:p w14:paraId="074C822C" w14:textId="0B1C1C69" w:rsidR="000D4E7E" w:rsidRPr="00FE65C5" w:rsidRDefault="000D4E7E" w:rsidP="000D4E7E">
            <w:pPr>
              <w:spacing w:after="80" w:line="240" w:lineRule="auto"/>
              <w:rPr>
                <w:b/>
                <w:bCs/>
                <w:color w:val="000000" w:themeColor="text1"/>
                <w:sz w:val="28"/>
                <w:szCs w:val="28"/>
                <w:lang w:val="en-US"/>
              </w:rPr>
            </w:pPr>
          </w:p>
          <w:p w14:paraId="507A97CC" w14:textId="0A1E5B08" w:rsidR="001E5F60" w:rsidRDefault="001E5F60" w:rsidP="000D4E7E">
            <w:pPr>
              <w:spacing w:after="80" w:line="240" w:lineRule="auto"/>
              <w:rPr>
                <w:b/>
                <w:bCs/>
                <w:color w:val="000000" w:themeColor="text1"/>
                <w:sz w:val="28"/>
                <w:szCs w:val="28"/>
                <w:lang w:val="en-US"/>
              </w:rPr>
            </w:pPr>
          </w:p>
          <w:p w14:paraId="52632497" w14:textId="77777777" w:rsidR="00CB5FA2" w:rsidRPr="00FE65C5" w:rsidRDefault="00CB5FA2" w:rsidP="000D4E7E">
            <w:pPr>
              <w:spacing w:after="80" w:line="240" w:lineRule="auto"/>
              <w:rPr>
                <w:b/>
                <w:bCs/>
                <w:color w:val="000000" w:themeColor="text1"/>
                <w:sz w:val="28"/>
                <w:szCs w:val="28"/>
                <w:lang w:val="en-US"/>
              </w:rPr>
            </w:pPr>
          </w:p>
          <w:p w14:paraId="2E35BCC8" w14:textId="77777777" w:rsidR="00617756" w:rsidRPr="00FE65C5" w:rsidRDefault="00617756" w:rsidP="00617756">
            <w:pPr>
              <w:spacing w:after="80" w:line="240" w:lineRule="auto"/>
              <w:jc w:val="center"/>
              <w:rPr>
                <w:b/>
                <w:bCs/>
                <w:color w:val="000000" w:themeColor="text1"/>
                <w:sz w:val="28"/>
                <w:szCs w:val="28"/>
                <w:lang w:val="en-US"/>
              </w:rPr>
            </w:pPr>
          </w:p>
          <w:p w14:paraId="52D6761F" w14:textId="7A74B880" w:rsidR="00617756" w:rsidRPr="00FE65C5" w:rsidRDefault="00CB5FA2" w:rsidP="00617756">
            <w:pPr>
              <w:spacing w:after="80" w:line="240" w:lineRule="auto"/>
              <w:jc w:val="center"/>
              <w:rPr>
                <w:b/>
                <w:bCs/>
                <w:color w:val="000000" w:themeColor="text1"/>
                <w:sz w:val="28"/>
                <w:szCs w:val="28"/>
                <w:lang w:val="en-US"/>
              </w:rPr>
            </w:pPr>
            <w:r>
              <w:rPr>
                <w:b/>
                <w:bCs/>
                <w:color w:val="000000" w:themeColor="text1"/>
                <w:sz w:val="28"/>
                <w:szCs w:val="28"/>
                <w:lang w:val="en-US"/>
              </w:rPr>
              <w:t>Nguyễn Thanh Chương</w:t>
            </w:r>
          </w:p>
        </w:tc>
      </w:tr>
    </w:tbl>
    <w:p w14:paraId="634A40CA" w14:textId="77777777" w:rsidR="00877C22" w:rsidRPr="00FE65C5" w:rsidRDefault="00877C22" w:rsidP="00E079CA">
      <w:pPr>
        <w:spacing w:after="80" w:line="240" w:lineRule="auto"/>
        <w:jc w:val="both"/>
        <w:rPr>
          <w:color w:val="000000" w:themeColor="text1"/>
          <w:sz w:val="28"/>
          <w:szCs w:val="28"/>
          <w:lang w:val="en-US"/>
        </w:rPr>
      </w:pPr>
    </w:p>
    <w:sectPr w:rsidR="00877C22" w:rsidRPr="00FE65C5" w:rsidSect="004955CD">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4BA7" w14:textId="77777777" w:rsidR="00E21078" w:rsidRDefault="00E21078" w:rsidP="004955CD">
      <w:pPr>
        <w:spacing w:line="240" w:lineRule="auto"/>
      </w:pPr>
      <w:r>
        <w:separator/>
      </w:r>
    </w:p>
  </w:endnote>
  <w:endnote w:type="continuationSeparator" w:id="0">
    <w:p w14:paraId="6F923185" w14:textId="77777777" w:rsidR="00E21078" w:rsidRDefault="00E21078" w:rsidP="00495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CA0E" w14:textId="77777777" w:rsidR="00E21078" w:rsidRDefault="00E21078" w:rsidP="004955CD">
      <w:pPr>
        <w:spacing w:line="240" w:lineRule="auto"/>
      </w:pPr>
      <w:r>
        <w:separator/>
      </w:r>
    </w:p>
  </w:footnote>
  <w:footnote w:type="continuationSeparator" w:id="0">
    <w:p w14:paraId="0794B24A" w14:textId="77777777" w:rsidR="00E21078" w:rsidRDefault="00E21078" w:rsidP="00495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71117"/>
      <w:docPartObj>
        <w:docPartGallery w:val="Page Numbers (Top of Page)"/>
        <w:docPartUnique/>
      </w:docPartObj>
    </w:sdtPr>
    <w:sdtEndPr>
      <w:rPr>
        <w:noProof/>
      </w:rPr>
    </w:sdtEndPr>
    <w:sdtContent>
      <w:p w14:paraId="0C295660" w14:textId="342212A0" w:rsidR="004955CD" w:rsidRDefault="004955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63C"/>
    <w:multiLevelType w:val="hybridMultilevel"/>
    <w:tmpl w:val="9B827342"/>
    <w:lvl w:ilvl="0" w:tplc="3F04C96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05AC0"/>
    <w:multiLevelType w:val="hybridMultilevel"/>
    <w:tmpl w:val="9496E4A6"/>
    <w:lvl w:ilvl="0" w:tplc="3F04C96E">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C4901C5"/>
    <w:multiLevelType w:val="hybridMultilevel"/>
    <w:tmpl w:val="BFB4FC22"/>
    <w:lvl w:ilvl="0" w:tplc="618A4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C56069"/>
    <w:multiLevelType w:val="hybridMultilevel"/>
    <w:tmpl w:val="BF48AE46"/>
    <w:lvl w:ilvl="0" w:tplc="3F04C96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2D27B3"/>
    <w:multiLevelType w:val="hybridMultilevel"/>
    <w:tmpl w:val="838C038E"/>
    <w:lvl w:ilvl="0" w:tplc="BB58A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9320F6"/>
    <w:multiLevelType w:val="hybridMultilevel"/>
    <w:tmpl w:val="6FEC0E88"/>
    <w:lvl w:ilvl="0" w:tplc="5A48D5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21CEA"/>
    <w:multiLevelType w:val="hybridMultilevel"/>
    <w:tmpl w:val="C840B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156E22"/>
    <w:multiLevelType w:val="hybridMultilevel"/>
    <w:tmpl w:val="11E4CF8A"/>
    <w:lvl w:ilvl="0" w:tplc="3F04C96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5772587"/>
    <w:multiLevelType w:val="hybridMultilevel"/>
    <w:tmpl w:val="30A47B18"/>
    <w:lvl w:ilvl="0" w:tplc="904E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599157">
    <w:abstractNumId w:val="7"/>
  </w:num>
  <w:num w:numId="2" w16cid:durableId="1920358528">
    <w:abstractNumId w:val="1"/>
  </w:num>
  <w:num w:numId="3" w16cid:durableId="1407415366">
    <w:abstractNumId w:val="5"/>
  </w:num>
  <w:num w:numId="4" w16cid:durableId="708840652">
    <w:abstractNumId w:val="3"/>
  </w:num>
  <w:num w:numId="5" w16cid:durableId="400640648">
    <w:abstractNumId w:val="0"/>
  </w:num>
  <w:num w:numId="6" w16cid:durableId="1086072611">
    <w:abstractNumId w:val="8"/>
  </w:num>
  <w:num w:numId="7" w16cid:durableId="616764745">
    <w:abstractNumId w:val="4"/>
  </w:num>
  <w:num w:numId="8" w16cid:durableId="849103576">
    <w:abstractNumId w:val="6"/>
  </w:num>
  <w:num w:numId="9" w16cid:durableId="1704332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C1"/>
    <w:rsid w:val="0001503E"/>
    <w:rsid w:val="00017E85"/>
    <w:rsid w:val="00034986"/>
    <w:rsid w:val="00055671"/>
    <w:rsid w:val="000560EE"/>
    <w:rsid w:val="00060FEF"/>
    <w:rsid w:val="00064972"/>
    <w:rsid w:val="00066CB3"/>
    <w:rsid w:val="00080C07"/>
    <w:rsid w:val="000819EC"/>
    <w:rsid w:val="00083EA6"/>
    <w:rsid w:val="00094063"/>
    <w:rsid w:val="000A6919"/>
    <w:rsid w:val="000B1CD3"/>
    <w:rsid w:val="000C2D10"/>
    <w:rsid w:val="000C4A70"/>
    <w:rsid w:val="000D4E7E"/>
    <w:rsid w:val="000D4FB2"/>
    <w:rsid w:val="000D5C0D"/>
    <w:rsid w:val="000E6C18"/>
    <w:rsid w:val="000F1103"/>
    <w:rsid w:val="00102DDB"/>
    <w:rsid w:val="001165E1"/>
    <w:rsid w:val="00116A09"/>
    <w:rsid w:val="0013516B"/>
    <w:rsid w:val="0014130C"/>
    <w:rsid w:val="00147273"/>
    <w:rsid w:val="00165179"/>
    <w:rsid w:val="0017408C"/>
    <w:rsid w:val="00182B76"/>
    <w:rsid w:val="001969B6"/>
    <w:rsid w:val="001A4B82"/>
    <w:rsid w:val="001A6608"/>
    <w:rsid w:val="001B1BD8"/>
    <w:rsid w:val="001C0704"/>
    <w:rsid w:val="001C5690"/>
    <w:rsid w:val="001C74D3"/>
    <w:rsid w:val="001E09BB"/>
    <w:rsid w:val="001E5F60"/>
    <w:rsid w:val="001F35D1"/>
    <w:rsid w:val="00217053"/>
    <w:rsid w:val="00223194"/>
    <w:rsid w:val="00224B91"/>
    <w:rsid w:val="002264D5"/>
    <w:rsid w:val="002341B2"/>
    <w:rsid w:val="00246348"/>
    <w:rsid w:val="00246FC0"/>
    <w:rsid w:val="0028691B"/>
    <w:rsid w:val="002A4181"/>
    <w:rsid w:val="002A555C"/>
    <w:rsid w:val="002D3AB5"/>
    <w:rsid w:val="002D6C9C"/>
    <w:rsid w:val="002F3B5C"/>
    <w:rsid w:val="00301D57"/>
    <w:rsid w:val="003111FE"/>
    <w:rsid w:val="00311362"/>
    <w:rsid w:val="003119CE"/>
    <w:rsid w:val="00335AB8"/>
    <w:rsid w:val="00341AFB"/>
    <w:rsid w:val="00343609"/>
    <w:rsid w:val="003546C7"/>
    <w:rsid w:val="003622A2"/>
    <w:rsid w:val="00376D38"/>
    <w:rsid w:val="0038023C"/>
    <w:rsid w:val="00382346"/>
    <w:rsid w:val="00391FA6"/>
    <w:rsid w:val="003A614A"/>
    <w:rsid w:val="003D0189"/>
    <w:rsid w:val="003D1DEA"/>
    <w:rsid w:val="003E2F78"/>
    <w:rsid w:val="003E4FF3"/>
    <w:rsid w:val="0043357A"/>
    <w:rsid w:val="00442482"/>
    <w:rsid w:val="00442709"/>
    <w:rsid w:val="00450C46"/>
    <w:rsid w:val="0045631F"/>
    <w:rsid w:val="004816DD"/>
    <w:rsid w:val="00483056"/>
    <w:rsid w:val="004841F6"/>
    <w:rsid w:val="00484210"/>
    <w:rsid w:val="004955CD"/>
    <w:rsid w:val="004A4F6C"/>
    <w:rsid w:val="004A61A8"/>
    <w:rsid w:val="004B6C21"/>
    <w:rsid w:val="004B71AC"/>
    <w:rsid w:val="004C210C"/>
    <w:rsid w:val="004C592F"/>
    <w:rsid w:val="004D4A67"/>
    <w:rsid w:val="004E7D8F"/>
    <w:rsid w:val="004F73EA"/>
    <w:rsid w:val="005042E0"/>
    <w:rsid w:val="005064D8"/>
    <w:rsid w:val="005303F6"/>
    <w:rsid w:val="00531240"/>
    <w:rsid w:val="00533B9C"/>
    <w:rsid w:val="0053489C"/>
    <w:rsid w:val="005370F7"/>
    <w:rsid w:val="005441A7"/>
    <w:rsid w:val="00544D0E"/>
    <w:rsid w:val="0055178D"/>
    <w:rsid w:val="00551965"/>
    <w:rsid w:val="0055397B"/>
    <w:rsid w:val="0056424E"/>
    <w:rsid w:val="00571EEB"/>
    <w:rsid w:val="005755FA"/>
    <w:rsid w:val="005761FD"/>
    <w:rsid w:val="00577714"/>
    <w:rsid w:val="00577972"/>
    <w:rsid w:val="00587ED1"/>
    <w:rsid w:val="0059361C"/>
    <w:rsid w:val="00597CC2"/>
    <w:rsid w:val="005C747A"/>
    <w:rsid w:val="005D76AF"/>
    <w:rsid w:val="005E4576"/>
    <w:rsid w:val="005F5C3B"/>
    <w:rsid w:val="005F7F94"/>
    <w:rsid w:val="00617756"/>
    <w:rsid w:val="006209AA"/>
    <w:rsid w:val="0062130D"/>
    <w:rsid w:val="00625EFC"/>
    <w:rsid w:val="00627D56"/>
    <w:rsid w:val="006502AC"/>
    <w:rsid w:val="00655331"/>
    <w:rsid w:val="0066367A"/>
    <w:rsid w:val="00667359"/>
    <w:rsid w:val="00667C2E"/>
    <w:rsid w:val="006808CE"/>
    <w:rsid w:val="00681848"/>
    <w:rsid w:val="00692194"/>
    <w:rsid w:val="006B03BF"/>
    <w:rsid w:val="006B052C"/>
    <w:rsid w:val="006B0C05"/>
    <w:rsid w:val="006B2E23"/>
    <w:rsid w:val="006B659E"/>
    <w:rsid w:val="006C501B"/>
    <w:rsid w:val="006C581A"/>
    <w:rsid w:val="006C7A91"/>
    <w:rsid w:val="006E29CF"/>
    <w:rsid w:val="0070006D"/>
    <w:rsid w:val="0071139D"/>
    <w:rsid w:val="00714CF9"/>
    <w:rsid w:val="00724994"/>
    <w:rsid w:val="00755AB1"/>
    <w:rsid w:val="0077207F"/>
    <w:rsid w:val="007736D9"/>
    <w:rsid w:val="007757AD"/>
    <w:rsid w:val="007775A0"/>
    <w:rsid w:val="0077761A"/>
    <w:rsid w:val="0079007D"/>
    <w:rsid w:val="007A094A"/>
    <w:rsid w:val="007B31B5"/>
    <w:rsid w:val="007C1462"/>
    <w:rsid w:val="007C5FAB"/>
    <w:rsid w:val="007D2334"/>
    <w:rsid w:val="007F7D29"/>
    <w:rsid w:val="00816F91"/>
    <w:rsid w:val="0082599D"/>
    <w:rsid w:val="008321D7"/>
    <w:rsid w:val="00835B3F"/>
    <w:rsid w:val="0083722F"/>
    <w:rsid w:val="00843DFF"/>
    <w:rsid w:val="0084523A"/>
    <w:rsid w:val="008613BD"/>
    <w:rsid w:val="008670B2"/>
    <w:rsid w:val="00871570"/>
    <w:rsid w:val="00874487"/>
    <w:rsid w:val="0087513A"/>
    <w:rsid w:val="00877C22"/>
    <w:rsid w:val="008838D4"/>
    <w:rsid w:val="0089003C"/>
    <w:rsid w:val="00891E98"/>
    <w:rsid w:val="00896097"/>
    <w:rsid w:val="008A5401"/>
    <w:rsid w:val="008A54C5"/>
    <w:rsid w:val="008B570B"/>
    <w:rsid w:val="008C156C"/>
    <w:rsid w:val="008C29D8"/>
    <w:rsid w:val="008C5DE0"/>
    <w:rsid w:val="008C76B5"/>
    <w:rsid w:val="008D740C"/>
    <w:rsid w:val="008E4952"/>
    <w:rsid w:val="008F0AE2"/>
    <w:rsid w:val="00910923"/>
    <w:rsid w:val="00917494"/>
    <w:rsid w:val="009247A6"/>
    <w:rsid w:val="00926B45"/>
    <w:rsid w:val="009453FC"/>
    <w:rsid w:val="00945E40"/>
    <w:rsid w:val="0095236A"/>
    <w:rsid w:val="00953909"/>
    <w:rsid w:val="00956270"/>
    <w:rsid w:val="00962168"/>
    <w:rsid w:val="00971902"/>
    <w:rsid w:val="0097225B"/>
    <w:rsid w:val="009A3A4D"/>
    <w:rsid w:val="009A50EE"/>
    <w:rsid w:val="009B41F8"/>
    <w:rsid w:val="009D0B94"/>
    <w:rsid w:val="009F70AB"/>
    <w:rsid w:val="00A03330"/>
    <w:rsid w:val="00A0577F"/>
    <w:rsid w:val="00A1051B"/>
    <w:rsid w:val="00A10743"/>
    <w:rsid w:val="00A11403"/>
    <w:rsid w:val="00A138DD"/>
    <w:rsid w:val="00A215F3"/>
    <w:rsid w:val="00A31237"/>
    <w:rsid w:val="00A4162D"/>
    <w:rsid w:val="00A4229B"/>
    <w:rsid w:val="00A42887"/>
    <w:rsid w:val="00A47475"/>
    <w:rsid w:val="00A64763"/>
    <w:rsid w:val="00A778D1"/>
    <w:rsid w:val="00A85C10"/>
    <w:rsid w:val="00AA09AB"/>
    <w:rsid w:val="00AC2A5A"/>
    <w:rsid w:val="00AC35DD"/>
    <w:rsid w:val="00AC5A21"/>
    <w:rsid w:val="00AC6F6C"/>
    <w:rsid w:val="00AD7E35"/>
    <w:rsid w:val="00AF5217"/>
    <w:rsid w:val="00B25AC0"/>
    <w:rsid w:val="00B46634"/>
    <w:rsid w:val="00B53BC1"/>
    <w:rsid w:val="00B56083"/>
    <w:rsid w:val="00B65BE8"/>
    <w:rsid w:val="00B7011B"/>
    <w:rsid w:val="00B704E0"/>
    <w:rsid w:val="00B7683D"/>
    <w:rsid w:val="00B85B23"/>
    <w:rsid w:val="00B85CE1"/>
    <w:rsid w:val="00B97044"/>
    <w:rsid w:val="00BB1E5B"/>
    <w:rsid w:val="00BB4B0C"/>
    <w:rsid w:val="00BC0A70"/>
    <w:rsid w:val="00BC5C5B"/>
    <w:rsid w:val="00BD77D9"/>
    <w:rsid w:val="00BE1809"/>
    <w:rsid w:val="00BE5839"/>
    <w:rsid w:val="00C04C7B"/>
    <w:rsid w:val="00C04D86"/>
    <w:rsid w:val="00C0603A"/>
    <w:rsid w:val="00C1035A"/>
    <w:rsid w:val="00C137E0"/>
    <w:rsid w:val="00C27EA1"/>
    <w:rsid w:val="00C323E7"/>
    <w:rsid w:val="00C41C70"/>
    <w:rsid w:val="00C52EF4"/>
    <w:rsid w:val="00C54192"/>
    <w:rsid w:val="00C85A4C"/>
    <w:rsid w:val="00C866D4"/>
    <w:rsid w:val="00C93115"/>
    <w:rsid w:val="00CA6CFB"/>
    <w:rsid w:val="00CB5FA2"/>
    <w:rsid w:val="00CC38E3"/>
    <w:rsid w:val="00CC625E"/>
    <w:rsid w:val="00CC6F37"/>
    <w:rsid w:val="00CD37F2"/>
    <w:rsid w:val="00CE54A9"/>
    <w:rsid w:val="00CE67BF"/>
    <w:rsid w:val="00CF7502"/>
    <w:rsid w:val="00D0101C"/>
    <w:rsid w:val="00D0295F"/>
    <w:rsid w:val="00D0779A"/>
    <w:rsid w:val="00D137B6"/>
    <w:rsid w:val="00D17867"/>
    <w:rsid w:val="00D329FB"/>
    <w:rsid w:val="00D441DF"/>
    <w:rsid w:val="00D56642"/>
    <w:rsid w:val="00D71F56"/>
    <w:rsid w:val="00D72D4E"/>
    <w:rsid w:val="00D74C48"/>
    <w:rsid w:val="00D76DC5"/>
    <w:rsid w:val="00D83AB4"/>
    <w:rsid w:val="00D92EB5"/>
    <w:rsid w:val="00DA0297"/>
    <w:rsid w:val="00DA715C"/>
    <w:rsid w:val="00DB17D2"/>
    <w:rsid w:val="00DB543C"/>
    <w:rsid w:val="00DC2FFD"/>
    <w:rsid w:val="00DC4A93"/>
    <w:rsid w:val="00DC4AD8"/>
    <w:rsid w:val="00DC56F3"/>
    <w:rsid w:val="00DC7B94"/>
    <w:rsid w:val="00DD00A4"/>
    <w:rsid w:val="00DD259C"/>
    <w:rsid w:val="00DD33EB"/>
    <w:rsid w:val="00DE16C4"/>
    <w:rsid w:val="00DF2F61"/>
    <w:rsid w:val="00DF5031"/>
    <w:rsid w:val="00DF6105"/>
    <w:rsid w:val="00E00F81"/>
    <w:rsid w:val="00E079CA"/>
    <w:rsid w:val="00E1607A"/>
    <w:rsid w:val="00E1622A"/>
    <w:rsid w:val="00E21078"/>
    <w:rsid w:val="00E23064"/>
    <w:rsid w:val="00E23E13"/>
    <w:rsid w:val="00E36810"/>
    <w:rsid w:val="00E663F0"/>
    <w:rsid w:val="00E667A8"/>
    <w:rsid w:val="00E66E8B"/>
    <w:rsid w:val="00E700AE"/>
    <w:rsid w:val="00E750C8"/>
    <w:rsid w:val="00E77937"/>
    <w:rsid w:val="00E80DA0"/>
    <w:rsid w:val="00E84CAF"/>
    <w:rsid w:val="00E908E2"/>
    <w:rsid w:val="00E95F01"/>
    <w:rsid w:val="00EA5907"/>
    <w:rsid w:val="00EB04BD"/>
    <w:rsid w:val="00EC3222"/>
    <w:rsid w:val="00EE2678"/>
    <w:rsid w:val="00EE5FAE"/>
    <w:rsid w:val="00F14B54"/>
    <w:rsid w:val="00F169DE"/>
    <w:rsid w:val="00F20889"/>
    <w:rsid w:val="00F23D60"/>
    <w:rsid w:val="00F23DA0"/>
    <w:rsid w:val="00F316C9"/>
    <w:rsid w:val="00F345C3"/>
    <w:rsid w:val="00F45FD2"/>
    <w:rsid w:val="00F704C1"/>
    <w:rsid w:val="00F812D8"/>
    <w:rsid w:val="00F82894"/>
    <w:rsid w:val="00F8339F"/>
    <w:rsid w:val="00F8652C"/>
    <w:rsid w:val="00F94076"/>
    <w:rsid w:val="00FA6418"/>
    <w:rsid w:val="00FB5C5A"/>
    <w:rsid w:val="00FC60DD"/>
    <w:rsid w:val="00FD13FA"/>
    <w:rsid w:val="00FE0229"/>
    <w:rsid w:val="00FE65C5"/>
    <w:rsid w:val="00FF46E1"/>
    <w:rsid w:val="00FF63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9B16"/>
  <w15:chartTrackingRefBased/>
  <w15:docId w15:val="{814C9EA7-B23E-410B-BA7A-FBA18D4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ài"/>
    <w:qFormat/>
    <w:rsid w:val="00B53BC1"/>
    <w:pPr>
      <w:spacing w:after="0" w:line="480"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B53B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3B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3BC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3BC1"/>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53BC1"/>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53BC1"/>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53BC1"/>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53BC1"/>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53BC1"/>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BC1"/>
    <w:rPr>
      <w:rFonts w:eastAsiaTheme="majorEastAsia" w:cstheme="majorBidi"/>
      <w:color w:val="272727" w:themeColor="text1" w:themeTint="D8"/>
    </w:rPr>
  </w:style>
  <w:style w:type="paragraph" w:styleId="Title">
    <w:name w:val="Title"/>
    <w:basedOn w:val="Normal"/>
    <w:next w:val="Normal"/>
    <w:link w:val="TitleChar"/>
    <w:uiPriority w:val="10"/>
    <w:qFormat/>
    <w:rsid w:val="00B53B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3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BC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3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BC1"/>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53BC1"/>
    <w:rPr>
      <w:i/>
      <w:iCs/>
      <w:color w:val="404040" w:themeColor="text1" w:themeTint="BF"/>
    </w:rPr>
  </w:style>
  <w:style w:type="paragraph" w:styleId="ListParagraph">
    <w:name w:val="List Paragraph"/>
    <w:basedOn w:val="Normal"/>
    <w:uiPriority w:val="34"/>
    <w:qFormat/>
    <w:rsid w:val="00B53BC1"/>
    <w:pPr>
      <w:spacing w:after="160"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B53BC1"/>
    <w:rPr>
      <w:i/>
      <w:iCs/>
      <w:color w:val="0F4761" w:themeColor="accent1" w:themeShade="BF"/>
    </w:rPr>
  </w:style>
  <w:style w:type="paragraph" w:styleId="IntenseQuote">
    <w:name w:val="Intense Quote"/>
    <w:basedOn w:val="Normal"/>
    <w:next w:val="Normal"/>
    <w:link w:val="IntenseQuoteChar"/>
    <w:uiPriority w:val="30"/>
    <w:qFormat/>
    <w:rsid w:val="00B53B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53BC1"/>
    <w:rPr>
      <w:i/>
      <w:iCs/>
      <w:color w:val="0F4761" w:themeColor="accent1" w:themeShade="BF"/>
    </w:rPr>
  </w:style>
  <w:style w:type="character" w:styleId="IntenseReference">
    <w:name w:val="Intense Reference"/>
    <w:basedOn w:val="DefaultParagraphFont"/>
    <w:uiPriority w:val="32"/>
    <w:qFormat/>
    <w:rsid w:val="00B53BC1"/>
    <w:rPr>
      <w:b/>
      <w:bCs/>
      <w:smallCaps/>
      <w:color w:val="0F4761" w:themeColor="accent1" w:themeShade="BF"/>
      <w:spacing w:val="5"/>
    </w:rPr>
  </w:style>
  <w:style w:type="table" w:styleId="TableGrid">
    <w:name w:val="Table Grid"/>
    <w:basedOn w:val="TableNormal"/>
    <w:uiPriority w:val="39"/>
    <w:rsid w:val="00B53BC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A6919"/>
    <w:pPr>
      <w:spacing w:after="120"/>
    </w:pPr>
  </w:style>
  <w:style w:type="character" w:customStyle="1" w:styleId="BodyText2Char">
    <w:name w:val="Body Text 2 Char"/>
    <w:basedOn w:val="DefaultParagraphFont"/>
    <w:link w:val="BodyText2"/>
    <w:uiPriority w:val="99"/>
    <w:rsid w:val="000A6919"/>
    <w:rPr>
      <w:rFonts w:ascii="Times New Roman" w:hAnsi="Times New Roman"/>
      <w:kern w:val="0"/>
      <w:szCs w:val="22"/>
      <w14:ligatures w14:val="none"/>
    </w:rPr>
  </w:style>
  <w:style w:type="paragraph" w:styleId="BalloonText">
    <w:name w:val="Balloon Text"/>
    <w:basedOn w:val="Normal"/>
    <w:link w:val="BalloonTextChar"/>
    <w:uiPriority w:val="99"/>
    <w:semiHidden/>
    <w:unhideWhenUsed/>
    <w:rsid w:val="00A138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8DD"/>
    <w:rPr>
      <w:rFonts w:ascii="Segoe UI" w:hAnsi="Segoe UI" w:cs="Segoe UI"/>
      <w:kern w:val="0"/>
      <w:sz w:val="18"/>
      <w:szCs w:val="18"/>
      <w14:ligatures w14:val="none"/>
    </w:rPr>
  </w:style>
  <w:style w:type="paragraph" w:styleId="Header">
    <w:name w:val="header"/>
    <w:basedOn w:val="Normal"/>
    <w:link w:val="HeaderChar"/>
    <w:uiPriority w:val="99"/>
    <w:unhideWhenUsed/>
    <w:rsid w:val="004955CD"/>
    <w:pPr>
      <w:tabs>
        <w:tab w:val="center" w:pos="4513"/>
        <w:tab w:val="right" w:pos="9026"/>
      </w:tabs>
      <w:spacing w:line="240" w:lineRule="auto"/>
    </w:pPr>
  </w:style>
  <w:style w:type="character" w:customStyle="1" w:styleId="HeaderChar">
    <w:name w:val="Header Char"/>
    <w:basedOn w:val="DefaultParagraphFont"/>
    <w:link w:val="Header"/>
    <w:uiPriority w:val="99"/>
    <w:rsid w:val="004955CD"/>
    <w:rPr>
      <w:rFonts w:ascii="Times New Roman" w:hAnsi="Times New Roman"/>
      <w:kern w:val="0"/>
      <w:szCs w:val="22"/>
      <w14:ligatures w14:val="none"/>
    </w:rPr>
  </w:style>
  <w:style w:type="paragraph" w:styleId="Footer">
    <w:name w:val="footer"/>
    <w:basedOn w:val="Normal"/>
    <w:link w:val="FooterChar"/>
    <w:uiPriority w:val="99"/>
    <w:unhideWhenUsed/>
    <w:rsid w:val="004955CD"/>
    <w:pPr>
      <w:tabs>
        <w:tab w:val="center" w:pos="4513"/>
        <w:tab w:val="right" w:pos="9026"/>
      </w:tabs>
      <w:spacing w:line="240" w:lineRule="auto"/>
    </w:pPr>
  </w:style>
  <w:style w:type="character" w:customStyle="1" w:styleId="FooterChar">
    <w:name w:val="Footer Char"/>
    <w:basedOn w:val="DefaultParagraphFont"/>
    <w:link w:val="Footer"/>
    <w:uiPriority w:val="99"/>
    <w:rsid w:val="004955CD"/>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78FB-9DD2-4E2A-8A51-39BB4184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923</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Tài Nguyễn</dc:creator>
  <cp:keywords/>
  <dc:description/>
  <cp:lastModifiedBy>Planet VN</cp:lastModifiedBy>
  <cp:revision>101</cp:revision>
  <cp:lastPrinted>2025-06-09T08:48:00Z</cp:lastPrinted>
  <dcterms:created xsi:type="dcterms:W3CDTF">2025-05-15T07:33:00Z</dcterms:created>
  <dcterms:modified xsi:type="dcterms:W3CDTF">2025-06-09T09:05:00Z</dcterms:modified>
</cp:coreProperties>
</file>