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tblInd w:w="-284" w:type="dxa"/>
        <w:tblLayout w:type="fixed"/>
        <w:tblLook w:val="04A0" w:firstRow="1" w:lastRow="0" w:firstColumn="1" w:lastColumn="0" w:noHBand="0" w:noVBand="1"/>
      </w:tblPr>
      <w:tblGrid>
        <w:gridCol w:w="3686"/>
        <w:gridCol w:w="5811"/>
      </w:tblGrid>
      <w:tr w:rsidR="007F2D33" w14:paraId="73E7E88D" w14:textId="77777777" w:rsidTr="00ED75DB">
        <w:trPr>
          <w:trHeight w:val="1825"/>
        </w:trPr>
        <w:tc>
          <w:tcPr>
            <w:tcW w:w="3686" w:type="dxa"/>
          </w:tcPr>
          <w:p w14:paraId="559DE769" w14:textId="77777777" w:rsidR="00596F4D" w:rsidRPr="005045DD" w:rsidRDefault="00596F4D" w:rsidP="00F93526">
            <w:pPr>
              <w:jc w:val="center"/>
              <w:rPr>
                <w:rFonts w:ascii="Times New Roman" w:hAnsi="Times New Roman"/>
                <w:sz w:val="27"/>
                <w:szCs w:val="27"/>
              </w:rPr>
            </w:pPr>
            <w:r w:rsidRPr="005045DD">
              <w:rPr>
                <w:rFonts w:ascii="Times New Roman" w:hAnsi="Times New Roman"/>
                <w:sz w:val="27"/>
                <w:szCs w:val="27"/>
              </w:rPr>
              <w:t>UBND TỈNH LÂM ĐỒNG</w:t>
            </w:r>
          </w:p>
          <w:p w14:paraId="25C39DC2" w14:textId="77777777" w:rsidR="007F2D33" w:rsidRDefault="00596F4D" w:rsidP="00F93526">
            <w:pPr>
              <w:jc w:val="center"/>
              <w:rPr>
                <w:rFonts w:ascii="Times New Roman" w:hAnsi="Times New Roman"/>
                <w:b/>
                <w:bCs/>
                <w:sz w:val="27"/>
                <w:szCs w:val="27"/>
              </w:rPr>
            </w:pPr>
            <w:r w:rsidRPr="005045DD">
              <w:rPr>
                <w:rFonts w:ascii="Times New Roman" w:hAnsi="Times New Roman"/>
                <w:b/>
                <w:bCs/>
                <w:sz w:val="27"/>
                <w:szCs w:val="27"/>
              </w:rPr>
              <w:t>SỞ TƯ PHÁP</w:t>
            </w:r>
          </w:p>
          <w:p w14:paraId="5C87E38E" w14:textId="77777777" w:rsidR="00674D89" w:rsidRPr="005045DD" w:rsidRDefault="000F5235" w:rsidP="00F93526">
            <w:pPr>
              <w:jc w:val="center"/>
              <w:rPr>
                <w:rFonts w:ascii="Times New Roman" w:hAnsi="Times New Roman"/>
                <w:b/>
                <w:bCs/>
                <w:sz w:val="27"/>
                <w:szCs w:val="27"/>
              </w:rPr>
            </w:pPr>
            <w:r>
              <w:rPr>
                <w:noProof/>
              </w:rPr>
              <mc:AlternateContent>
                <mc:Choice Requires="wps">
                  <w:drawing>
                    <wp:anchor distT="4294967295" distB="4294967295" distL="114300" distR="114300" simplePos="0" relativeHeight="251657216" behindDoc="0" locked="0" layoutInCell="1" allowOverlap="1" wp14:anchorId="22E35E6A" wp14:editId="07A9DB88">
                      <wp:simplePos x="0" y="0"/>
                      <wp:positionH relativeFrom="column">
                        <wp:posOffset>780591</wp:posOffset>
                      </wp:positionH>
                      <wp:positionV relativeFrom="paragraph">
                        <wp:posOffset>22860</wp:posOffset>
                      </wp:positionV>
                      <wp:extent cx="577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EFBDE2"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5pt,1.8pt" to="10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7CHAIAADU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Onp/kUOkhvroQUtzxjnf/EdY+CUWIpVFCNFOT44nzg&#10;QYpbSDhWeiOkjJ2XCg0lXkzzaUxwWgoWnCHM2XZfSYuOJMxO/GJR4HkMs/qgWATrOGHrq+2JkBcb&#10;Lpcq4EElQOdqXYbjxyJdrOfr+WQ0yWfr0SSt69HHTTUZzTbZ07T+UFdVnf0M1LJJ0QnGuArsboOa&#10;Tf5uEK5P5jJi91G9y5C8RY96AdnbP5KOrQzdu8zBXrPz1t5aDLMZg6/vKAz/4x7sx9e++gUAAP//&#10;AwBQSwMEFAAGAAgAAAAhAHvvbEPZAAAABwEAAA8AAABkcnMvZG93bnJldi54bWxMjsFOwzAQRO9I&#10;/IO1SFyq1mkiVTTEqRCQGxdaENdtvCQR8TqN3Tbw9Sxc4Pg0o5lXbCbXqxONofNsYLlIQBHX3nbc&#10;GHjZVfMbUCEiW+w9k4FPCrApLy8KzK0/8zOdtrFRMsIhRwNtjEOudahbchgWfiCW7N2PDqPg2Gg7&#10;4lnGXa/TJFlphx3LQ4sD3bdUf2yPzkCoXulQfc3qWfKWNZ7Sw8PTIxpzfTXd3YKKNMW/MvzoizqU&#10;4rT3R7ZB9cJpupaqgWwFSvJ0mQnvf1mXhf7vX34DAAD//wMAUEsBAi0AFAAGAAgAAAAhALaDOJL+&#10;AAAA4QEAABMAAAAAAAAAAAAAAAAAAAAAAFtDb250ZW50X1R5cGVzXS54bWxQSwECLQAUAAYACAAA&#10;ACEAOP0h/9YAAACUAQAACwAAAAAAAAAAAAAAAAAvAQAAX3JlbHMvLnJlbHNQSwECLQAUAAYACAAA&#10;ACEAb73ewhwCAAA1BAAADgAAAAAAAAAAAAAAAAAuAgAAZHJzL2Uyb0RvYy54bWxQSwECLQAUAAYA&#10;CAAAACEAe+9sQ9kAAAAHAQAADwAAAAAAAAAAAAAAAAB2BAAAZHJzL2Rvd25yZXYueG1sUEsFBgAA&#10;AAAEAAQA8wAAAHwFAAAAAA==&#10;"/>
                  </w:pict>
                </mc:Fallback>
              </mc:AlternateContent>
            </w:r>
          </w:p>
          <w:p w14:paraId="6431B4BF" w14:textId="77777777" w:rsidR="007F2D33" w:rsidRDefault="007F2D33" w:rsidP="00F93526">
            <w:pPr>
              <w:jc w:val="center"/>
              <w:rPr>
                <w:rFonts w:ascii="Times New Roman" w:hAnsi="Times New Roman"/>
                <w:bCs/>
                <w:sz w:val="28"/>
                <w:szCs w:val="28"/>
              </w:rPr>
            </w:pPr>
            <w:r>
              <w:rPr>
                <w:rFonts w:ascii="Times New Roman" w:hAnsi="Times New Roman"/>
                <w:bCs/>
                <w:sz w:val="28"/>
                <w:szCs w:val="28"/>
              </w:rPr>
              <w:t xml:space="preserve">Số: </w:t>
            </w:r>
            <w:r w:rsidR="00674D89">
              <w:rPr>
                <w:rFonts w:ascii="Times New Roman" w:hAnsi="Times New Roman"/>
                <w:bCs/>
                <w:sz w:val="28"/>
                <w:szCs w:val="28"/>
              </w:rPr>
              <w:t xml:space="preserve">     </w:t>
            </w:r>
            <w:r w:rsidR="00C1561C">
              <w:rPr>
                <w:rFonts w:ascii="Times New Roman" w:hAnsi="Times New Roman"/>
                <w:bCs/>
                <w:sz w:val="28"/>
                <w:szCs w:val="28"/>
              </w:rPr>
              <w:t xml:space="preserve">   </w:t>
            </w:r>
            <w:r w:rsidR="00674D89">
              <w:rPr>
                <w:rFonts w:ascii="Times New Roman" w:hAnsi="Times New Roman"/>
                <w:bCs/>
                <w:sz w:val="28"/>
                <w:szCs w:val="28"/>
              </w:rPr>
              <w:t xml:space="preserve">  </w:t>
            </w:r>
            <w:r>
              <w:rPr>
                <w:rFonts w:ascii="Times New Roman" w:hAnsi="Times New Roman"/>
                <w:bCs/>
                <w:sz w:val="28"/>
                <w:szCs w:val="28"/>
              </w:rPr>
              <w:t>/</w:t>
            </w:r>
            <w:r w:rsidR="00596F4D">
              <w:rPr>
                <w:rFonts w:ascii="Times New Roman" w:hAnsi="Times New Roman"/>
                <w:bCs/>
                <w:sz w:val="28"/>
                <w:szCs w:val="28"/>
              </w:rPr>
              <w:t>STP-BTTP</w:t>
            </w:r>
          </w:p>
          <w:p w14:paraId="61EFEE62" w14:textId="77777777" w:rsidR="00A62661" w:rsidRPr="00385E85" w:rsidRDefault="00A62661" w:rsidP="00F93526">
            <w:pPr>
              <w:jc w:val="center"/>
              <w:rPr>
                <w:rFonts w:ascii="Times New Roman" w:hAnsi="Times New Roman"/>
                <w:sz w:val="2"/>
                <w:szCs w:val="24"/>
              </w:rPr>
            </w:pPr>
          </w:p>
          <w:p w14:paraId="6D02C4DB" w14:textId="370D59D7" w:rsidR="00E44C12" w:rsidRPr="007C60BF" w:rsidRDefault="00734265" w:rsidP="00E44C12">
            <w:pPr>
              <w:jc w:val="center"/>
              <w:rPr>
                <w:rFonts w:ascii="Times New Roman" w:hAnsi="Times New Roman"/>
                <w:sz w:val="24"/>
                <w:szCs w:val="24"/>
              </w:rPr>
            </w:pPr>
            <w:bookmarkStart w:id="0" w:name="_Hlk171598490"/>
            <w:r w:rsidRPr="007C60BF">
              <w:rPr>
                <w:rFonts w:ascii="Times New Roman" w:hAnsi="Times New Roman"/>
                <w:sz w:val="24"/>
                <w:szCs w:val="24"/>
              </w:rPr>
              <w:t xml:space="preserve">V/v </w:t>
            </w:r>
            <w:bookmarkEnd w:id="0"/>
            <w:r w:rsidR="007C60BF" w:rsidRPr="007C60BF">
              <w:rPr>
                <w:rFonts w:ascii="Times New Roman" w:hAnsi="Times New Roman"/>
                <w:sz w:val="24"/>
                <w:szCs w:val="24"/>
              </w:rPr>
              <w:t>có ý kiến về tính pháp lý của Hợp đồng thuê lại đất và Phụ lục hợp đồng thuê lại đất</w:t>
            </w:r>
          </w:p>
          <w:p w14:paraId="4C990E20" w14:textId="0DCB49BB" w:rsidR="00734265" w:rsidRPr="00ED75DB" w:rsidRDefault="00734265" w:rsidP="00ED75DB">
            <w:pPr>
              <w:jc w:val="center"/>
              <w:rPr>
                <w:rFonts w:ascii="Times New Roman" w:hAnsi="Times New Roman"/>
                <w:sz w:val="24"/>
                <w:szCs w:val="24"/>
              </w:rPr>
            </w:pPr>
          </w:p>
        </w:tc>
        <w:tc>
          <w:tcPr>
            <w:tcW w:w="5811" w:type="dxa"/>
          </w:tcPr>
          <w:p w14:paraId="26BFCA60" w14:textId="77777777" w:rsidR="007F2D33" w:rsidRPr="00B07A07" w:rsidRDefault="007F2D33" w:rsidP="00F93526">
            <w:pPr>
              <w:rPr>
                <w:rFonts w:ascii="Times New Roman" w:hAnsi="Times New Roman"/>
                <w:b/>
                <w:bCs/>
                <w:szCs w:val="26"/>
              </w:rPr>
            </w:pPr>
            <w:r w:rsidRPr="00B07A07">
              <w:rPr>
                <w:rFonts w:ascii="Times New Roman" w:hAnsi="Times New Roman"/>
                <w:b/>
                <w:bCs/>
                <w:szCs w:val="26"/>
              </w:rPr>
              <w:t xml:space="preserve">CỘNG HÒA XÃ HỘI CHỦ </w:t>
            </w:r>
            <w:r w:rsidR="00674D89" w:rsidRPr="00B07A07">
              <w:rPr>
                <w:rFonts w:ascii="Times New Roman" w:hAnsi="Times New Roman"/>
                <w:b/>
                <w:bCs/>
                <w:szCs w:val="26"/>
              </w:rPr>
              <w:t>NGHĨA</w:t>
            </w:r>
            <w:r w:rsidRPr="00B07A07">
              <w:rPr>
                <w:rFonts w:ascii="Times New Roman" w:hAnsi="Times New Roman"/>
                <w:b/>
                <w:bCs/>
                <w:szCs w:val="26"/>
              </w:rPr>
              <w:t xml:space="preserve"> VIỆT NAM</w:t>
            </w:r>
          </w:p>
          <w:p w14:paraId="26C39C2B" w14:textId="77777777" w:rsidR="007F2D33" w:rsidRDefault="007F2D33" w:rsidP="00F93526">
            <w:pPr>
              <w:pStyle w:val="Heading1"/>
              <w:rPr>
                <w:rFonts w:ascii="Times New Roman" w:hAnsi="Times New Roman"/>
                <w:b/>
                <w:bCs/>
                <w:sz w:val="27"/>
                <w:szCs w:val="27"/>
                <w:u w:val="none"/>
              </w:rPr>
            </w:pPr>
            <w:r w:rsidRPr="005045DD">
              <w:rPr>
                <w:rFonts w:ascii="Times New Roman" w:hAnsi="Times New Roman"/>
                <w:b/>
                <w:bCs/>
                <w:sz w:val="27"/>
                <w:szCs w:val="27"/>
                <w:u w:val="none"/>
              </w:rPr>
              <w:t xml:space="preserve">Độc lập </w:t>
            </w:r>
            <w:r w:rsidR="00ED75DB">
              <w:rPr>
                <w:rFonts w:ascii="Times New Roman" w:hAnsi="Times New Roman"/>
                <w:b/>
                <w:bCs/>
                <w:sz w:val="27"/>
                <w:szCs w:val="27"/>
                <w:u w:val="none"/>
              </w:rPr>
              <w:t>-</w:t>
            </w:r>
            <w:r w:rsidRPr="005045DD">
              <w:rPr>
                <w:rFonts w:ascii="Times New Roman" w:hAnsi="Times New Roman"/>
                <w:b/>
                <w:bCs/>
                <w:sz w:val="27"/>
                <w:szCs w:val="27"/>
                <w:u w:val="none"/>
              </w:rPr>
              <w:t xml:space="preserve"> Tự do </w:t>
            </w:r>
            <w:r w:rsidR="00ED75DB">
              <w:rPr>
                <w:rFonts w:ascii="Times New Roman" w:hAnsi="Times New Roman"/>
                <w:b/>
                <w:bCs/>
                <w:sz w:val="27"/>
                <w:szCs w:val="27"/>
                <w:u w:val="none"/>
              </w:rPr>
              <w:t>-</w:t>
            </w:r>
            <w:r w:rsidRPr="005045DD">
              <w:rPr>
                <w:rFonts w:ascii="Times New Roman" w:hAnsi="Times New Roman"/>
                <w:b/>
                <w:bCs/>
                <w:sz w:val="27"/>
                <w:szCs w:val="27"/>
                <w:u w:val="none"/>
              </w:rPr>
              <w:t xml:space="preserve"> Hạnh phúc</w:t>
            </w:r>
          </w:p>
          <w:p w14:paraId="394AE88D" w14:textId="77777777" w:rsidR="00674D89" w:rsidRPr="00674D89" w:rsidRDefault="000F5235" w:rsidP="00F93526">
            <w:r>
              <w:rPr>
                <w:noProof/>
                <w:u w:val="single"/>
              </w:rPr>
              <mc:AlternateContent>
                <mc:Choice Requires="wps">
                  <w:drawing>
                    <wp:anchor distT="4294967295" distB="4294967295" distL="114300" distR="114300" simplePos="0" relativeHeight="251658240" behindDoc="0" locked="0" layoutInCell="1" allowOverlap="1" wp14:anchorId="1A57ADC6" wp14:editId="30B255B4">
                      <wp:simplePos x="0" y="0"/>
                      <wp:positionH relativeFrom="column">
                        <wp:posOffset>721674</wp:posOffset>
                      </wp:positionH>
                      <wp:positionV relativeFrom="paragraph">
                        <wp:posOffset>30480</wp:posOffset>
                      </wp:positionV>
                      <wp:extent cx="20764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9821B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2.4pt" to="220.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sZ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7N8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qHbQl2QAAAAcBAAAPAAAAZHJzL2Rvd25yZXYueG1sTI/BTsMwEETv&#10;SPyDtUhcKmq3jSoU4lQIyI0LBcR1Gy9JRLxOY7cNfD0LFzg+zWj2bbGZfK+ONMYusIXF3IAiroPr&#10;uLHw8lxdXYOKCdlhH5gsfFKETXl+VmDuwomf6LhNjZIRjjlaaFMacq1j3ZLHOA8DsWTvYfSYBMdG&#10;uxFPMu57vTRmrT12LBdaHOiupfpje/AWYvVK++prVs/M26oJtNzfPz6gtZcX0+0NqERT+ivDj76o&#10;QylOu3BgF1UvvFitpWohkw8kzzIjvPtlXRb6v3/5DQAA//8DAFBLAQItABQABgAIAAAAIQC2gziS&#10;/gAAAOEBAAATAAAAAAAAAAAAAAAAAAAAAABbQ29udGVudF9UeXBlc10ueG1sUEsBAi0AFAAGAAgA&#10;AAAhADj9If/WAAAAlAEAAAsAAAAAAAAAAAAAAAAALwEAAF9yZWxzLy5yZWxzUEsBAi0AFAAGAAgA&#10;AAAhAIZSqxkdAgAANgQAAA4AAAAAAAAAAAAAAAAALgIAAGRycy9lMm9Eb2MueG1sUEsBAi0AFAAG&#10;AAgAAAAhACodtCXZAAAABwEAAA8AAAAAAAAAAAAAAAAAdwQAAGRycy9kb3ducmV2LnhtbFBLBQYA&#10;AAAABAAEAPMAAAB9BQAAAAA=&#10;"/>
                  </w:pict>
                </mc:Fallback>
              </mc:AlternateContent>
            </w:r>
          </w:p>
          <w:p w14:paraId="09C83547" w14:textId="77777777" w:rsidR="007F2D33" w:rsidRDefault="007F2D33" w:rsidP="00F93526">
            <w:pPr>
              <w:rPr>
                <w:rFonts w:ascii="Times New Roman" w:hAnsi="Times New Roman"/>
                <w:i/>
                <w:sz w:val="2"/>
                <w:szCs w:val="28"/>
              </w:rPr>
            </w:pPr>
          </w:p>
          <w:p w14:paraId="60B0A647" w14:textId="4733D903" w:rsidR="007F2D33" w:rsidRDefault="007F2D33" w:rsidP="00E44C12">
            <w:pPr>
              <w:jc w:val="center"/>
              <w:rPr>
                <w:rFonts w:ascii="Times New Roman" w:hAnsi="Times New Roman"/>
                <w:i/>
                <w:sz w:val="28"/>
                <w:szCs w:val="28"/>
              </w:rPr>
            </w:pPr>
            <w:r>
              <w:rPr>
                <w:rFonts w:ascii="Times New Roman" w:hAnsi="Times New Roman"/>
                <w:i/>
                <w:sz w:val="28"/>
                <w:szCs w:val="28"/>
              </w:rPr>
              <w:t>L</w:t>
            </w:r>
            <w:r w:rsidR="00BA4922">
              <w:rPr>
                <w:rFonts w:ascii="Times New Roman" w:hAnsi="Times New Roman"/>
                <w:i/>
                <w:sz w:val="28"/>
                <w:szCs w:val="28"/>
              </w:rPr>
              <w:t xml:space="preserve">âm </w:t>
            </w:r>
            <w:r w:rsidR="00244825">
              <w:rPr>
                <w:rFonts w:ascii="Times New Roman" w:hAnsi="Times New Roman"/>
                <w:i/>
                <w:sz w:val="28"/>
                <w:szCs w:val="28"/>
              </w:rPr>
              <w:t>Đ</w:t>
            </w:r>
            <w:r w:rsidR="00005701">
              <w:rPr>
                <w:rFonts w:ascii="Times New Roman" w:hAnsi="Times New Roman"/>
                <w:i/>
                <w:sz w:val="28"/>
                <w:szCs w:val="28"/>
              </w:rPr>
              <w:t xml:space="preserve">ồng, ngày </w:t>
            </w:r>
            <w:r w:rsidR="00674D89">
              <w:rPr>
                <w:rFonts w:ascii="Times New Roman" w:hAnsi="Times New Roman"/>
                <w:i/>
                <w:sz w:val="28"/>
                <w:szCs w:val="28"/>
              </w:rPr>
              <w:t xml:space="preserve">       </w:t>
            </w:r>
            <w:r w:rsidR="00005701">
              <w:rPr>
                <w:rFonts w:ascii="Times New Roman" w:hAnsi="Times New Roman"/>
                <w:i/>
                <w:sz w:val="28"/>
                <w:szCs w:val="28"/>
              </w:rPr>
              <w:t xml:space="preserve">tháng </w:t>
            </w:r>
            <w:r w:rsidR="00E44C12">
              <w:rPr>
                <w:rFonts w:ascii="Times New Roman" w:hAnsi="Times New Roman"/>
                <w:i/>
                <w:sz w:val="28"/>
                <w:szCs w:val="28"/>
              </w:rPr>
              <w:t>10</w:t>
            </w:r>
            <w:r w:rsidR="007055C7">
              <w:rPr>
                <w:rFonts w:ascii="Times New Roman" w:hAnsi="Times New Roman"/>
                <w:i/>
                <w:sz w:val="28"/>
                <w:szCs w:val="28"/>
              </w:rPr>
              <w:t xml:space="preserve"> </w:t>
            </w:r>
            <w:r>
              <w:rPr>
                <w:rFonts w:ascii="Times New Roman" w:hAnsi="Times New Roman"/>
                <w:i/>
                <w:sz w:val="28"/>
                <w:szCs w:val="28"/>
              </w:rPr>
              <w:t>năm 20</w:t>
            </w:r>
            <w:r w:rsidR="007055C7">
              <w:rPr>
                <w:rFonts w:ascii="Times New Roman" w:hAnsi="Times New Roman"/>
                <w:i/>
                <w:sz w:val="28"/>
                <w:szCs w:val="28"/>
              </w:rPr>
              <w:t>2</w:t>
            </w:r>
            <w:r w:rsidR="00ED75DB">
              <w:rPr>
                <w:rFonts w:ascii="Times New Roman" w:hAnsi="Times New Roman"/>
                <w:i/>
                <w:sz w:val="28"/>
                <w:szCs w:val="28"/>
              </w:rPr>
              <w:t>5</w:t>
            </w:r>
          </w:p>
        </w:tc>
      </w:tr>
    </w:tbl>
    <w:p w14:paraId="22D1659B" w14:textId="77777777" w:rsidR="005551F9" w:rsidRDefault="007A44E2" w:rsidP="00136430">
      <w:pPr>
        <w:rPr>
          <w:rFonts w:ascii="Times New Roman" w:hAnsi="Times New Roman"/>
          <w:sz w:val="24"/>
          <w:szCs w:val="24"/>
        </w:rPr>
      </w:pPr>
      <w:r>
        <w:rPr>
          <w:rFonts w:ascii="Times New Roman" w:hAnsi="Times New Roman"/>
          <w:sz w:val="24"/>
          <w:szCs w:val="24"/>
        </w:rPr>
        <w:t xml:space="preserve">                 </w:t>
      </w:r>
      <w:r w:rsidR="00F52221">
        <w:rPr>
          <w:rFonts w:ascii="Times New Roman" w:hAnsi="Times New Roman"/>
          <w:sz w:val="24"/>
          <w:szCs w:val="24"/>
        </w:rPr>
        <w:t xml:space="preserve"> </w:t>
      </w:r>
    </w:p>
    <w:p w14:paraId="1861B409" w14:textId="41BF88B3" w:rsidR="00AA02AA" w:rsidRDefault="00ED75DB" w:rsidP="00632643">
      <w:pPr>
        <w:spacing w:before="120"/>
        <w:ind w:left="1440" w:firstLine="119"/>
        <w:jc w:val="both"/>
        <w:rPr>
          <w:rFonts w:ascii="Times New Roman" w:hAnsi="Times New Roman"/>
          <w:sz w:val="28"/>
          <w:szCs w:val="28"/>
        </w:rPr>
      </w:pPr>
      <w:r w:rsidRPr="00B90EB3">
        <w:rPr>
          <w:rFonts w:ascii="Times New Roman" w:hAnsi="Times New Roman"/>
          <w:sz w:val="28"/>
          <w:szCs w:val="28"/>
        </w:rPr>
        <w:t>Kính gửi:</w:t>
      </w:r>
      <w:r w:rsidRPr="00ED75DB">
        <w:rPr>
          <w:rFonts w:ascii="Times New Roman" w:hAnsi="Times New Roman"/>
          <w:sz w:val="28"/>
          <w:szCs w:val="28"/>
        </w:rPr>
        <w:t xml:space="preserve"> </w:t>
      </w:r>
      <w:r w:rsidR="00E44C12">
        <w:rPr>
          <w:rFonts w:ascii="Times New Roman" w:hAnsi="Times New Roman"/>
          <w:sz w:val="28"/>
          <w:szCs w:val="28"/>
        </w:rPr>
        <w:t>Văn phòng Đăng ký đất đai</w:t>
      </w:r>
      <w:r w:rsidR="00A454E3">
        <w:rPr>
          <w:rFonts w:ascii="Times New Roman" w:hAnsi="Times New Roman"/>
          <w:sz w:val="28"/>
          <w:szCs w:val="28"/>
        </w:rPr>
        <w:t xml:space="preserve"> tỉnh Lâm Đồng</w:t>
      </w:r>
    </w:p>
    <w:p w14:paraId="77447863" w14:textId="639148AE" w:rsidR="00ED75DB" w:rsidRPr="007A44E2" w:rsidRDefault="00ED75DB" w:rsidP="00280D26">
      <w:pPr>
        <w:ind w:left="1440" w:firstLine="720"/>
        <w:jc w:val="both"/>
        <w:rPr>
          <w:rFonts w:ascii="Times New Roman" w:hAnsi="Times New Roman"/>
          <w:sz w:val="28"/>
          <w:szCs w:val="28"/>
        </w:rPr>
      </w:pPr>
    </w:p>
    <w:p w14:paraId="537D53B6" w14:textId="5E951DFC" w:rsidR="00E90FB8" w:rsidRPr="007C60BF" w:rsidRDefault="00835E65" w:rsidP="007C60BF">
      <w:pPr>
        <w:spacing w:before="120" w:after="120"/>
        <w:ind w:firstLine="709"/>
        <w:jc w:val="both"/>
        <w:rPr>
          <w:rFonts w:ascii="Times New Roman" w:hAnsi="Times New Roman"/>
          <w:sz w:val="28"/>
          <w:szCs w:val="28"/>
        </w:rPr>
      </w:pPr>
      <w:r w:rsidRPr="007C60BF">
        <w:rPr>
          <w:rFonts w:ascii="Times New Roman" w:hAnsi="Times New Roman"/>
          <w:sz w:val="28"/>
          <w:szCs w:val="28"/>
        </w:rPr>
        <w:t xml:space="preserve">Ngày 30/10/2025, Sở Tư pháp nhận được Công văn số 1322/VPĐK-TKĐK ngày 28/10/2025 của Văn phòng đăng ký đất đai tỉnh về việc giải quyết hồ sơ đăng ký biến động của </w:t>
      </w:r>
      <w:r w:rsidR="007C60BF" w:rsidRPr="007C60BF">
        <w:rPr>
          <w:rFonts w:ascii="Times New Roman" w:hAnsi="Times New Roman"/>
          <w:sz w:val="28"/>
          <w:szCs w:val="28"/>
        </w:rPr>
        <w:t>Công ty TNHH Tân Phát Đức Trọng.</w:t>
      </w:r>
      <w:r w:rsidRPr="007C60BF">
        <w:rPr>
          <w:rFonts w:ascii="Times New Roman" w:hAnsi="Times New Roman"/>
          <w:sz w:val="28"/>
          <w:szCs w:val="28"/>
        </w:rPr>
        <w:t xml:space="preserve"> </w:t>
      </w:r>
    </w:p>
    <w:p w14:paraId="56E9C3D4" w14:textId="6F6E2C61" w:rsidR="00835E65" w:rsidRPr="007C60BF" w:rsidRDefault="00E90FB8" w:rsidP="007C60BF">
      <w:pPr>
        <w:spacing w:before="120" w:after="120"/>
        <w:ind w:firstLine="709"/>
        <w:jc w:val="both"/>
        <w:rPr>
          <w:rFonts w:ascii="Times New Roman" w:hAnsi="Times New Roman"/>
          <w:i/>
          <w:sz w:val="28"/>
          <w:szCs w:val="28"/>
        </w:rPr>
      </w:pPr>
      <w:r w:rsidRPr="007C60BF">
        <w:rPr>
          <w:rFonts w:ascii="Times New Roman" w:hAnsi="Times New Roman"/>
          <w:sz w:val="28"/>
          <w:szCs w:val="28"/>
        </w:rPr>
        <w:t>N</w:t>
      </w:r>
      <w:r w:rsidR="00BA453D" w:rsidRPr="007C60BF">
        <w:rPr>
          <w:rFonts w:ascii="Times New Roman" w:hAnsi="Times New Roman"/>
          <w:sz w:val="28"/>
          <w:szCs w:val="28"/>
        </w:rPr>
        <w:t>ội dung</w:t>
      </w:r>
      <w:r w:rsidR="00835E65" w:rsidRPr="007C60BF">
        <w:rPr>
          <w:rFonts w:ascii="Times New Roman" w:hAnsi="Times New Roman"/>
          <w:sz w:val="28"/>
          <w:szCs w:val="28"/>
        </w:rPr>
        <w:t xml:space="preserve">: </w:t>
      </w:r>
      <w:r w:rsidR="00835E65" w:rsidRPr="007C60BF">
        <w:rPr>
          <w:rFonts w:ascii="Times New Roman" w:hAnsi="Times New Roman"/>
          <w:i/>
          <w:sz w:val="28"/>
          <w:szCs w:val="28"/>
        </w:rPr>
        <w:t>“</w:t>
      </w:r>
      <w:r w:rsidR="00721FAC" w:rsidRPr="007C60BF">
        <w:rPr>
          <w:rFonts w:ascii="Times New Roman" w:hAnsi="Times New Roman"/>
          <w:i/>
          <w:sz w:val="28"/>
          <w:szCs w:val="28"/>
        </w:rPr>
        <w:t>Công ty TNHH sản xuất và thu</w:t>
      </w:r>
      <w:r w:rsidRPr="007C60BF">
        <w:rPr>
          <w:rFonts w:ascii="Times New Roman" w:hAnsi="Times New Roman"/>
          <w:i/>
          <w:sz w:val="28"/>
          <w:szCs w:val="28"/>
        </w:rPr>
        <w:t>ơ</w:t>
      </w:r>
      <w:r w:rsidR="00721FAC" w:rsidRPr="007C60BF">
        <w:rPr>
          <w:rFonts w:ascii="Times New Roman" w:hAnsi="Times New Roman"/>
          <w:i/>
          <w:sz w:val="28"/>
          <w:szCs w:val="28"/>
        </w:rPr>
        <w:t>ng mại Tân Phát</w:t>
      </w:r>
      <w:r w:rsidRPr="007C60BF">
        <w:rPr>
          <w:rFonts w:ascii="Times New Roman" w:hAnsi="Times New Roman"/>
          <w:i/>
          <w:sz w:val="28"/>
          <w:szCs w:val="28"/>
        </w:rPr>
        <w:t xml:space="preserve"> sử dụng đất thông qua hình thức thuê lại đất của Công ty phát triển hạ tầng Khu Công nghiệp Lộc Sơn – Phú hội theo Hợp đồng thuê đất số 01/HĐ-TLĐ ngày 20/8/2007 do Ban Quản lý các khu công nghiệp chứng thực và được Sở Tài nguyên và Môi trường cấp giấy chứng nhận quyền sử dụng đất, quyền sở hữu nhà ở và tài sản khác gắn liền với đất. Nay Công ty TNHH sản xuất và thuơng mại Tân Phát đăng ký biến động quyền sử dụng đất và tài sản gắn liền với đất do chia tách doanh nghiệp từ Công ty TNHH sản xuất và thuơng mại Tân Phát thành Công ty TNHH Tân Phát Đức Trọng</w:t>
      </w:r>
      <w:r w:rsidR="00835E65" w:rsidRPr="007C60BF">
        <w:rPr>
          <w:rFonts w:ascii="Times New Roman" w:hAnsi="Times New Roman"/>
          <w:i/>
          <w:sz w:val="28"/>
          <w:szCs w:val="28"/>
        </w:rPr>
        <w:t>…do Phụ lục Hợp đồng thuê lại đất của Công ty TNHH Tân Phát Đức Trọng chưa được công chứng, chứng thực và các bên tham gia giao dịch không phải là tổ chức hoạt động kinh doanh bất động sản. Văn phòng đăng ký đất đai tỉnh đề nghị Sở Tư pháp có ý kiến về tính pháp lý của Hợp đồng thuê lại đất và Phụ lục hợp đồng thuê lại đất nêu trên…”</w:t>
      </w:r>
      <w:r w:rsidRPr="007C60BF">
        <w:rPr>
          <w:rFonts w:ascii="Times New Roman" w:hAnsi="Times New Roman"/>
          <w:i/>
          <w:sz w:val="28"/>
          <w:szCs w:val="28"/>
        </w:rPr>
        <w:t>.</w:t>
      </w:r>
    </w:p>
    <w:p w14:paraId="610A8E6E" w14:textId="7C6B3AE0" w:rsidR="00835E65" w:rsidRPr="007C60BF" w:rsidRDefault="00835E65" w:rsidP="007C60BF">
      <w:pPr>
        <w:spacing w:before="120" w:after="120"/>
        <w:ind w:firstLine="709"/>
        <w:jc w:val="both"/>
        <w:rPr>
          <w:rFonts w:ascii="Times New Roman" w:hAnsi="Times New Roman"/>
          <w:sz w:val="28"/>
          <w:szCs w:val="28"/>
        </w:rPr>
      </w:pPr>
      <w:r w:rsidRPr="007C60BF">
        <w:rPr>
          <w:rFonts w:ascii="Times New Roman" w:hAnsi="Times New Roman"/>
          <w:sz w:val="28"/>
          <w:szCs w:val="28"/>
        </w:rPr>
        <w:t>Sau khi nghiên cứu các quy định của pháp luật, Sở Tư pháp có ý kiến như sau:</w:t>
      </w:r>
    </w:p>
    <w:p w14:paraId="38BEA9DF" w14:textId="42F18AD1" w:rsidR="0034096E" w:rsidRPr="007C60BF" w:rsidRDefault="00DB19F9"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b/>
          <w:sz w:val="28"/>
          <w:szCs w:val="28"/>
        </w:rPr>
        <w:t>1. Đối với việc ký Hợp đồng thuê lại đất giữa Công ty TNHH sản xuất và thuơng mại Tân Phát với Công ty phát triển hạ tầng Khu Công nghiệp Lộc Sơn – Phú hội theo Hợp đồng thuê đất số 01/HĐ-TLĐ ngày 20/8/2007 do Ban Quản lý các khu công nghiệp chứng thực</w:t>
      </w:r>
      <w:bookmarkStart w:id="1" w:name="_GoBack"/>
      <w:bookmarkEnd w:id="1"/>
    </w:p>
    <w:p w14:paraId="64CEFA83" w14:textId="589B43C0" w:rsidR="00AF6A8A" w:rsidRPr="007C60BF" w:rsidRDefault="00980F4E" w:rsidP="007C60BF">
      <w:pPr>
        <w:spacing w:before="120" w:after="120"/>
        <w:ind w:firstLine="709"/>
        <w:jc w:val="both"/>
        <w:rPr>
          <w:rFonts w:ascii="Times New Roman" w:hAnsi="Times New Roman"/>
          <w:sz w:val="28"/>
          <w:szCs w:val="28"/>
          <w:shd w:val="clear" w:color="auto" w:fill="FFFFFF"/>
        </w:rPr>
      </w:pPr>
      <w:r w:rsidRPr="007C60BF">
        <w:rPr>
          <w:rFonts w:ascii="Times New Roman" w:hAnsi="Times New Roman"/>
          <w:sz w:val="28"/>
          <w:szCs w:val="28"/>
        </w:rPr>
        <w:t xml:space="preserve">- Tại </w:t>
      </w:r>
      <w:r w:rsidR="00AF6A8A" w:rsidRPr="007C60BF">
        <w:rPr>
          <w:rFonts w:ascii="Times New Roman" w:hAnsi="Times New Roman"/>
          <w:sz w:val="28"/>
          <w:szCs w:val="28"/>
          <w:shd w:val="clear" w:color="auto" w:fill="FFFFFF"/>
        </w:rPr>
        <w:t xml:space="preserve">Khoản 10 Điều 2 </w:t>
      </w:r>
      <w:bookmarkStart w:id="2" w:name="dc_13"/>
      <w:r w:rsidR="00AF6A8A" w:rsidRPr="007C60BF">
        <w:rPr>
          <w:rFonts w:ascii="Times New Roman" w:hAnsi="Times New Roman"/>
          <w:sz w:val="28"/>
          <w:szCs w:val="28"/>
          <w:shd w:val="clear" w:color="auto" w:fill="FFFFFF"/>
        </w:rPr>
        <w:t>Nghị định số 17/2006/NĐ-CP</w:t>
      </w:r>
      <w:bookmarkEnd w:id="2"/>
      <w:r w:rsidR="00AF6A8A" w:rsidRPr="007C60BF">
        <w:rPr>
          <w:rFonts w:ascii="Times New Roman" w:hAnsi="Times New Roman"/>
          <w:sz w:val="28"/>
          <w:szCs w:val="28"/>
          <w:shd w:val="clear" w:color="auto" w:fill="FFFFFF"/>
        </w:rPr>
        <w:t> ngày 27</w:t>
      </w:r>
      <w:r w:rsidR="007C60BF" w:rsidRPr="007C60BF">
        <w:rPr>
          <w:rFonts w:ascii="Times New Roman" w:hAnsi="Times New Roman"/>
          <w:sz w:val="28"/>
          <w:szCs w:val="28"/>
          <w:shd w:val="clear" w:color="auto" w:fill="FFFFFF"/>
        </w:rPr>
        <w:t>/</w:t>
      </w:r>
      <w:r w:rsidR="00AF6A8A" w:rsidRPr="007C60BF">
        <w:rPr>
          <w:rFonts w:ascii="Times New Roman" w:hAnsi="Times New Roman"/>
          <w:sz w:val="28"/>
          <w:szCs w:val="28"/>
          <w:shd w:val="clear" w:color="auto" w:fill="FFFFFF"/>
        </w:rPr>
        <w:t>01</w:t>
      </w:r>
      <w:r w:rsidR="007C60BF" w:rsidRPr="007C60BF">
        <w:rPr>
          <w:rFonts w:ascii="Times New Roman" w:hAnsi="Times New Roman"/>
          <w:sz w:val="28"/>
          <w:szCs w:val="28"/>
          <w:shd w:val="clear" w:color="auto" w:fill="FFFFFF"/>
        </w:rPr>
        <w:t>/</w:t>
      </w:r>
      <w:r w:rsidR="00AF6A8A" w:rsidRPr="007C60BF">
        <w:rPr>
          <w:rFonts w:ascii="Times New Roman" w:hAnsi="Times New Roman"/>
          <w:sz w:val="28"/>
          <w:szCs w:val="28"/>
          <w:shd w:val="clear" w:color="auto" w:fill="FFFFFF"/>
        </w:rPr>
        <w:t>2006 của Chính phủ về sửa đổi, bổ sung một số điều của các Nghị định hướng dẫn thi hành Luật đất đai và Nghị định số </w:t>
      </w:r>
      <w:hyperlink r:id="rId8" w:tgtFrame="_blank" w:tooltip="Nghị định 187/2004/NĐ-CP" w:history="1">
        <w:r w:rsidR="00AF6A8A" w:rsidRPr="007C60BF">
          <w:rPr>
            <w:rStyle w:val="Hyperlink"/>
            <w:rFonts w:ascii="Times New Roman" w:hAnsi="Times New Roman"/>
            <w:color w:val="auto"/>
            <w:sz w:val="28"/>
            <w:szCs w:val="28"/>
            <w:u w:val="none"/>
            <w:shd w:val="clear" w:color="auto" w:fill="FFFFFF"/>
          </w:rPr>
          <w:t>187/2004/NĐ-CP</w:t>
        </w:r>
      </w:hyperlink>
      <w:r w:rsidR="00AF6A8A" w:rsidRPr="007C60BF">
        <w:rPr>
          <w:rFonts w:ascii="Times New Roman" w:hAnsi="Times New Roman"/>
          <w:sz w:val="28"/>
          <w:szCs w:val="28"/>
          <w:shd w:val="clear" w:color="auto" w:fill="FFFFFF"/>
        </w:rPr>
        <w:t xml:space="preserve"> về việc chuyển công ty nhà nước thành công ty cổ phần quy định: </w:t>
      </w:r>
    </w:p>
    <w:p w14:paraId="0BA76C65" w14:textId="77777777" w:rsidR="007B7EA3" w:rsidRPr="007C60BF" w:rsidRDefault="00AF6A8A"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shd w:val="clear" w:color="auto" w:fill="FFFFFF"/>
        </w:rPr>
        <w:t>“</w:t>
      </w:r>
      <w:r w:rsidR="00DD0506" w:rsidRPr="007C60BF">
        <w:rPr>
          <w:rFonts w:ascii="Times New Roman" w:hAnsi="Times New Roman"/>
          <w:i/>
          <w:sz w:val="28"/>
          <w:szCs w:val="28"/>
          <w:shd w:val="clear" w:color="auto" w:fill="FFFFFF"/>
        </w:rPr>
        <w:t>10. Sửa đổi khoản 1 Điều 119 như sau:</w:t>
      </w:r>
    </w:p>
    <w:p w14:paraId="62353BF5" w14:textId="6E8551FE" w:rsidR="00AF6A8A" w:rsidRPr="007C60BF" w:rsidRDefault="00DD0506" w:rsidP="007C60BF">
      <w:pPr>
        <w:shd w:val="clear" w:color="auto" w:fill="FFFFFF"/>
        <w:spacing w:before="120" w:after="120"/>
        <w:ind w:firstLine="709"/>
        <w:jc w:val="both"/>
        <w:rPr>
          <w:rFonts w:ascii="Times New Roman" w:hAnsi="Times New Roman"/>
          <w:i/>
          <w:sz w:val="28"/>
          <w:szCs w:val="28"/>
          <w:shd w:val="clear" w:color="auto" w:fill="FFFFFF"/>
        </w:rPr>
      </w:pPr>
      <w:r w:rsidRPr="007C60BF">
        <w:rPr>
          <w:rFonts w:ascii="Times New Roman" w:hAnsi="Times New Roman"/>
          <w:i/>
          <w:sz w:val="28"/>
          <w:szCs w:val="28"/>
          <w:shd w:val="clear" w:color="auto" w:fill="FFFFFF"/>
        </w:rPr>
        <w:t xml:space="preserve">1. Hợp đồng hoặc giấy tờ khi người sử dụng đất thực hiện các quyền chuyển đổi, chuyển nhượng, cho thuê, cho thuê lại, thừa kế, tặng cho quyền sử dụng đất, thế chấp, bảo lãnh, góp vốn bằng quyền sử dụng đất phải có chứng nhận của công chứng nhà nước hoặc chứng thực của Ủy ban nhân dân xã, phường, thị trấn hoặc </w:t>
      </w:r>
      <w:r w:rsidRPr="007C60BF">
        <w:rPr>
          <w:rFonts w:ascii="Times New Roman" w:hAnsi="Times New Roman"/>
          <w:i/>
          <w:sz w:val="28"/>
          <w:szCs w:val="28"/>
          <w:shd w:val="clear" w:color="auto" w:fill="FFFFFF"/>
        </w:rPr>
        <w:lastRenderedPageBreak/>
        <w:t>xác nhận của Ban quản lý khu công nghiệp, khu kinh tế, khu công nghệ cao theo quy định sau</w:t>
      </w:r>
      <w:r w:rsidR="00AF6A8A" w:rsidRPr="007C60BF">
        <w:rPr>
          <w:rFonts w:ascii="Times New Roman" w:hAnsi="Times New Roman"/>
          <w:i/>
          <w:sz w:val="28"/>
          <w:szCs w:val="28"/>
          <w:shd w:val="clear" w:color="auto" w:fill="FFFFFF"/>
        </w:rPr>
        <w:t>:</w:t>
      </w:r>
    </w:p>
    <w:p w14:paraId="53366406" w14:textId="1F303147" w:rsidR="00DD0506" w:rsidRPr="007C60BF" w:rsidRDefault="00DD0506" w:rsidP="007C60BF">
      <w:pPr>
        <w:shd w:val="clear" w:color="auto" w:fill="FFFFFF"/>
        <w:spacing w:before="120" w:after="120"/>
        <w:ind w:firstLine="709"/>
        <w:jc w:val="both"/>
        <w:rPr>
          <w:rFonts w:ascii="Times New Roman" w:hAnsi="Times New Roman"/>
          <w:i/>
          <w:sz w:val="28"/>
          <w:szCs w:val="28"/>
          <w:shd w:val="clear" w:color="auto" w:fill="FFFFFF"/>
        </w:rPr>
      </w:pPr>
      <w:r w:rsidRPr="007C60BF">
        <w:rPr>
          <w:rFonts w:ascii="Times New Roman" w:hAnsi="Times New Roman"/>
          <w:i/>
          <w:sz w:val="28"/>
          <w:szCs w:val="28"/>
          <w:shd w:val="clear" w:color="auto" w:fill="FFFFFF"/>
        </w:rPr>
        <w:t>a) Trường hợp chuyển nhượng, cho thuê, cho thuê lại quyền sử dụng đất, thế chấp, bảo lãnh, góp vốn bằng quyền sử dụng đất trong khu công nghiệp, khu kinh tế, khu công nghệ cao thì phải có xác nhận của Ban quản lý khu công nghiệp, khu kinh tế, khu công nghệ cao</w:t>
      </w:r>
      <w:r w:rsidR="00AF6A8A" w:rsidRPr="007C60BF">
        <w:rPr>
          <w:rFonts w:ascii="Times New Roman" w:hAnsi="Times New Roman"/>
          <w:i/>
          <w:sz w:val="28"/>
          <w:szCs w:val="28"/>
          <w:shd w:val="clear" w:color="auto" w:fill="FFFFFF"/>
        </w:rPr>
        <w:t>.</w:t>
      </w:r>
    </w:p>
    <w:p w14:paraId="2D220E26" w14:textId="06090309" w:rsidR="007B7EA3" w:rsidRPr="007C60BF" w:rsidRDefault="007B7EA3" w:rsidP="007C60BF">
      <w:pPr>
        <w:shd w:val="clear" w:color="auto" w:fill="FFFFFF"/>
        <w:spacing w:before="120" w:after="120"/>
        <w:ind w:firstLine="709"/>
        <w:jc w:val="both"/>
        <w:rPr>
          <w:rFonts w:ascii="Times New Roman" w:hAnsi="Times New Roman"/>
          <w:i/>
          <w:sz w:val="28"/>
          <w:szCs w:val="28"/>
          <w:shd w:val="clear" w:color="auto" w:fill="FFFFFF"/>
        </w:rPr>
      </w:pPr>
      <w:r w:rsidRPr="007C60BF">
        <w:rPr>
          <w:rFonts w:ascii="Times New Roman" w:hAnsi="Times New Roman"/>
          <w:i/>
          <w:sz w:val="28"/>
          <w:szCs w:val="28"/>
          <w:shd w:val="clear" w:color="auto" w:fill="FFFFFF"/>
        </w:rPr>
        <w:t>b) Trường hợp không thuộc quy định tại điểm a khoản 1 Điều này thì phải có chứng nhận của công chứng nhà nước đối với tổ chức, người Việt Nam định cư ở nước ngoài, tổ chức nước ngoài, cá nhân nước ngoài; phải có chứng nhận của công chứng nhà nước hoặc chứng thực của Ủy ban nhân dân xã, phường, thị trấn nơi có đất đối với hộ gia đình, cá nhân; phải có chứng nhận của công chứng nhà nước hoặc chứng thực của Ủy ban nhân dân xã, phường, thị trấn nơi có đất cho bên tham gia là hộ gia đình, cá nhân và bên còn lại là tổ chức, người Việt Nam định cư ở nước ngoài, tổ chức nước ngoài, cá nhân nước ngoài".</w:t>
      </w:r>
    </w:p>
    <w:p w14:paraId="237D2D0F" w14:textId="2DFD3D3D" w:rsidR="00094036" w:rsidRPr="007C60BF" w:rsidRDefault="00094036"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t xml:space="preserve">- Tại </w:t>
      </w:r>
      <w:r w:rsidR="009245AD" w:rsidRPr="007C60BF">
        <w:rPr>
          <w:rFonts w:ascii="Times New Roman" w:hAnsi="Times New Roman"/>
          <w:sz w:val="28"/>
          <w:szCs w:val="28"/>
        </w:rPr>
        <w:t xml:space="preserve">điểm 2.3 </w:t>
      </w:r>
      <w:r w:rsidR="00A9523D" w:rsidRPr="007C60BF">
        <w:rPr>
          <w:rFonts w:ascii="Times New Roman" w:hAnsi="Times New Roman"/>
          <w:sz w:val="28"/>
          <w:szCs w:val="28"/>
        </w:rPr>
        <w:t>khoản 2 mục I của Thông tư liên tịch số 04/20</w:t>
      </w:r>
      <w:r w:rsidR="00F51008" w:rsidRPr="007C60BF">
        <w:rPr>
          <w:rFonts w:ascii="Times New Roman" w:hAnsi="Times New Roman"/>
          <w:sz w:val="28"/>
          <w:szCs w:val="28"/>
        </w:rPr>
        <w:t>0</w:t>
      </w:r>
      <w:r w:rsidR="00A9523D" w:rsidRPr="007C60BF">
        <w:rPr>
          <w:rFonts w:ascii="Times New Roman" w:hAnsi="Times New Roman"/>
          <w:sz w:val="28"/>
          <w:szCs w:val="28"/>
        </w:rPr>
        <w:t>6/TTLT-BTP-BTNMT ngày 13/6/2006</w:t>
      </w:r>
      <w:r w:rsidR="006F2618" w:rsidRPr="007C60BF">
        <w:rPr>
          <w:rFonts w:ascii="Times New Roman" w:hAnsi="Times New Roman"/>
          <w:sz w:val="28"/>
          <w:szCs w:val="28"/>
        </w:rPr>
        <w:t xml:space="preserve"> của Bộ Tư pháp, Bộ Tài nguyên và Môi trường hướng dẫn việc công chứng, chứng thực hợp đồng, văn bản thực hiện quyền của người sử dụng đất quy định:</w:t>
      </w:r>
    </w:p>
    <w:p w14:paraId="53681CBE" w14:textId="4E07A91B" w:rsidR="006F2618" w:rsidRPr="007C60BF" w:rsidRDefault="00D67C85" w:rsidP="007C60BF">
      <w:pPr>
        <w:shd w:val="clear" w:color="auto" w:fill="FFFFFF"/>
        <w:spacing w:before="120" w:after="120"/>
        <w:ind w:firstLine="709"/>
        <w:jc w:val="both"/>
        <w:rPr>
          <w:rFonts w:ascii="Times New Roman" w:hAnsi="Times New Roman"/>
          <w:i/>
          <w:sz w:val="28"/>
          <w:szCs w:val="28"/>
          <w:shd w:val="clear" w:color="auto" w:fill="FFFFFF"/>
        </w:rPr>
      </w:pPr>
      <w:r w:rsidRPr="007C60BF">
        <w:rPr>
          <w:rFonts w:ascii="Times New Roman" w:hAnsi="Times New Roman"/>
          <w:i/>
          <w:sz w:val="28"/>
          <w:szCs w:val="28"/>
          <w:shd w:val="clear" w:color="auto" w:fill="FFFFFF"/>
        </w:rPr>
        <w:t xml:space="preserve">“Hợp đồng, văn bản về bất động sản trong khu công nghiệp, khu kinh tế, khu công nghệ cao thì xác nhận tại Ban quản lý Khu công nghiệp, </w:t>
      </w:r>
      <w:proofErr w:type="gramStart"/>
      <w:r w:rsidRPr="007C60BF">
        <w:rPr>
          <w:rFonts w:ascii="Times New Roman" w:hAnsi="Times New Roman"/>
          <w:i/>
          <w:sz w:val="28"/>
          <w:szCs w:val="28"/>
          <w:shd w:val="clear" w:color="auto" w:fill="FFFFFF"/>
        </w:rPr>
        <w:t>Ban</w:t>
      </w:r>
      <w:proofErr w:type="gramEnd"/>
      <w:r w:rsidRPr="007C60BF">
        <w:rPr>
          <w:rFonts w:ascii="Times New Roman" w:hAnsi="Times New Roman"/>
          <w:i/>
          <w:sz w:val="28"/>
          <w:szCs w:val="28"/>
          <w:shd w:val="clear" w:color="auto" w:fill="FFFFFF"/>
        </w:rPr>
        <w:t xml:space="preserve"> quản lý Khu Kinh tế, Ban quản lý Khu công nghệ cao (sau đây gọi là Ban quản lý)”. </w:t>
      </w:r>
    </w:p>
    <w:p w14:paraId="16EF6254" w14:textId="115F0617" w:rsidR="00FA76A8" w:rsidRPr="007C60BF" w:rsidRDefault="00FA76A8"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t xml:space="preserve">- Tại Điểm g Khoản 2 Điều 37 Nghị định số 29/2008/NĐ-CP ngày 14 tháng 3 năm 2008 của Chính phủ quy định về khu công nghiệp, khu chế xuất và khu kinh tế: </w:t>
      </w:r>
    </w:p>
    <w:p w14:paraId="35C65E1A" w14:textId="23518DBB" w:rsidR="00FA76A8" w:rsidRPr="007C60BF" w:rsidRDefault="00FA76A8"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shd w:val="clear" w:color="auto" w:fill="FFFFFF"/>
        </w:rPr>
        <w:t>“Điều 37. Nhiệm vụ và quyền hạn của Ban Quản lý khu công nghiệp, khu chế xuất, khu kinh tế</w:t>
      </w:r>
    </w:p>
    <w:p w14:paraId="364C1976" w14:textId="77777777" w:rsidR="00FA76A8" w:rsidRPr="007C60BF" w:rsidRDefault="00FA76A8"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shd w:val="clear" w:color="auto" w:fill="FFFFFF"/>
        </w:rPr>
        <w:t>...2. Ban Quản lý thực hiện theo quy định của pháp luật và theo hướng dẫn hoặc ủy quyền của các Bộ, ngành và Ủy ban nhân dân cấp tỉnh các nhiệm vụ:</w:t>
      </w:r>
    </w:p>
    <w:p w14:paraId="64737F49" w14:textId="4639D103" w:rsidR="00FA76A8" w:rsidRPr="007C60BF" w:rsidRDefault="00FA76A8"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shd w:val="clear" w:color="auto" w:fill="FFFFFF"/>
        </w:rPr>
        <w:t>...g) Xác nhận hợp đồng, văn bản về bất động sản trong khu công nghiệp, khu kinh tế cho tổ chức có liên quan”.</w:t>
      </w:r>
    </w:p>
    <w:p w14:paraId="6033CE21" w14:textId="4A13AD5A" w:rsidR="0034096E" w:rsidRPr="007C60BF" w:rsidRDefault="00C21E9B"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t>Như vậy, việc ký Hợp đồng thuê lại đất giữa Công ty TNHH sản xuất và thuơng mại Tân Phát với Công ty phát triển hạ tầng Khu Công nghiệp Lộc Sơn – Phú hội, được Ban Quản lý các khu công nghiệp chứng thực là có căn cứ pháp luật.</w:t>
      </w:r>
    </w:p>
    <w:p w14:paraId="6FEE414A" w14:textId="253F8699" w:rsidR="00704BF2" w:rsidRPr="007C60BF" w:rsidRDefault="00DE1D30"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b/>
          <w:sz w:val="28"/>
          <w:szCs w:val="28"/>
        </w:rPr>
        <w:t xml:space="preserve">2. </w:t>
      </w:r>
      <w:r w:rsidR="00037DB3" w:rsidRPr="007C60BF">
        <w:rPr>
          <w:rFonts w:ascii="Times New Roman" w:hAnsi="Times New Roman"/>
          <w:b/>
          <w:sz w:val="28"/>
          <w:szCs w:val="28"/>
        </w:rPr>
        <w:t>Đối với</w:t>
      </w:r>
      <w:r w:rsidR="00037DB3" w:rsidRPr="007C60BF">
        <w:rPr>
          <w:rFonts w:ascii="Times New Roman" w:hAnsi="Times New Roman"/>
          <w:sz w:val="28"/>
          <w:szCs w:val="28"/>
        </w:rPr>
        <w:t xml:space="preserve"> </w:t>
      </w:r>
      <w:r w:rsidR="00037DB3" w:rsidRPr="007C60BF">
        <w:rPr>
          <w:rFonts w:ascii="Times New Roman" w:hAnsi="Times New Roman"/>
          <w:b/>
          <w:sz w:val="28"/>
          <w:szCs w:val="28"/>
        </w:rPr>
        <w:t>Phụ lục Hợp đồng thuê lại đất của Công ty TNHH Tân Phát Đức Trọng</w:t>
      </w:r>
      <w:r w:rsidR="00037DB3" w:rsidRPr="007C60BF">
        <w:rPr>
          <w:rFonts w:ascii="Times New Roman" w:hAnsi="Times New Roman"/>
          <w:b/>
          <w:sz w:val="28"/>
          <w:szCs w:val="28"/>
        </w:rPr>
        <w:t xml:space="preserve"> với Công ty phát triển hạ tầng Khu công nghiệp Lộc Sơn – Phú Hội (số 05/PLHĐ-TLĐ ngày 29/8/2025)</w:t>
      </w:r>
    </w:p>
    <w:p w14:paraId="2817C531" w14:textId="2E1CD0D0" w:rsidR="00DE1D30" w:rsidRPr="007C60BF" w:rsidRDefault="00037DB3"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t xml:space="preserve">- </w:t>
      </w:r>
      <w:r w:rsidR="003E756B" w:rsidRPr="007C60BF">
        <w:rPr>
          <w:rFonts w:ascii="Times New Roman" w:hAnsi="Times New Roman"/>
          <w:sz w:val="28"/>
          <w:szCs w:val="28"/>
        </w:rPr>
        <w:t>T</w:t>
      </w:r>
      <w:r w:rsidR="00F4403F" w:rsidRPr="007C60BF">
        <w:rPr>
          <w:rFonts w:ascii="Times New Roman" w:hAnsi="Times New Roman"/>
          <w:sz w:val="28"/>
          <w:szCs w:val="28"/>
        </w:rPr>
        <w:t>ại</w:t>
      </w:r>
      <w:r w:rsidR="003E756B" w:rsidRPr="007C60BF">
        <w:rPr>
          <w:rFonts w:ascii="Times New Roman" w:hAnsi="Times New Roman"/>
          <w:sz w:val="28"/>
          <w:szCs w:val="28"/>
        </w:rPr>
        <w:t xml:space="preserve"> khoản 3 Điều 25 Nghị định số 04/2013/NĐ-CP ngày 07/01/2013 quy định chi tiết và hướng dẫn thi hành một số điều của Luật Công chứng quy định: </w:t>
      </w:r>
    </w:p>
    <w:p w14:paraId="4FD7B6B8" w14:textId="77777777" w:rsidR="000B5818" w:rsidRPr="007C60BF" w:rsidRDefault="000B5818" w:rsidP="007C60BF">
      <w:pPr>
        <w:pStyle w:val="NormalWeb"/>
        <w:shd w:val="clear" w:color="auto" w:fill="FFFFFF"/>
        <w:spacing w:before="120" w:beforeAutospacing="0" w:after="120" w:afterAutospacing="0"/>
        <w:ind w:firstLine="709"/>
        <w:jc w:val="both"/>
        <w:rPr>
          <w:i/>
          <w:sz w:val="28"/>
          <w:szCs w:val="28"/>
        </w:rPr>
      </w:pPr>
      <w:r w:rsidRPr="007C60BF">
        <w:rPr>
          <w:i/>
          <w:sz w:val="28"/>
          <w:szCs w:val="28"/>
        </w:rPr>
        <w:lastRenderedPageBreak/>
        <w:t>“Bãi bỏ quy định tại Điểm 1.a Khoản 10 Điều 2 Nghị định số 17/2006/NĐ-CP ngày 27 tháng 01 năm 2006 của Chính phủ về sửa đổi, bổ sung một số điều của các Nghị định hướng dẫn thi hành Luật đất đai và Nghị định số </w:t>
      </w:r>
      <w:hyperlink r:id="rId9" w:tgtFrame="_blank" w:tooltip="Nghị định 187/2004/NĐ-CP" w:history="1">
        <w:r w:rsidRPr="007C60BF">
          <w:rPr>
            <w:rStyle w:val="Hyperlink"/>
            <w:i/>
            <w:color w:val="auto"/>
            <w:sz w:val="28"/>
            <w:szCs w:val="28"/>
            <w:u w:val="none"/>
          </w:rPr>
          <w:t>187/2004/NĐ-CP</w:t>
        </w:r>
      </w:hyperlink>
      <w:r w:rsidRPr="007C60BF">
        <w:rPr>
          <w:i/>
          <w:sz w:val="28"/>
          <w:szCs w:val="28"/>
        </w:rPr>
        <w:t> về việc chuyển công ty nhà nước thành công ty cổ phần.</w:t>
      </w:r>
    </w:p>
    <w:p w14:paraId="218992B4" w14:textId="77777777" w:rsidR="000B5818" w:rsidRPr="007C60BF" w:rsidRDefault="000B5818" w:rsidP="007C60BF">
      <w:pPr>
        <w:pStyle w:val="NormalWeb"/>
        <w:shd w:val="clear" w:color="auto" w:fill="FFFFFF"/>
        <w:spacing w:before="120" w:beforeAutospacing="0" w:after="120" w:afterAutospacing="0"/>
        <w:ind w:firstLine="709"/>
        <w:jc w:val="both"/>
        <w:rPr>
          <w:i/>
          <w:sz w:val="28"/>
          <w:szCs w:val="28"/>
        </w:rPr>
      </w:pPr>
      <w:r w:rsidRPr="007C60BF">
        <w:rPr>
          <w:i/>
          <w:sz w:val="28"/>
          <w:szCs w:val="28"/>
        </w:rPr>
        <w:t>Bãi bỏ quy định tại </w:t>
      </w:r>
      <w:bookmarkStart w:id="3" w:name="dc_14"/>
      <w:r w:rsidRPr="007C60BF">
        <w:rPr>
          <w:i/>
          <w:sz w:val="28"/>
          <w:szCs w:val="28"/>
        </w:rPr>
        <w:t>Điểm g Khoản 2 Điều 37 Nghị định số 29/2008/NĐ-CP</w:t>
      </w:r>
      <w:bookmarkEnd w:id="3"/>
      <w:r w:rsidRPr="007C60BF">
        <w:rPr>
          <w:i/>
          <w:sz w:val="28"/>
          <w:szCs w:val="28"/>
        </w:rPr>
        <w:t> ngày 14 tháng 3 năm 2008 của Chính phủ quy định về khu công nghiệp, khu chế xuất và khu kinh tế”.</w:t>
      </w:r>
    </w:p>
    <w:p w14:paraId="4AA294F4" w14:textId="5A176FD3" w:rsidR="00392830" w:rsidRPr="007C60BF" w:rsidRDefault="000B5818"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t>Như vậy, khoản 3 Điều 25 Nghị định số 04/2013/NĐ-CP đ</w:t>
      </w:r>
      <w:r w:rsidR="00392830" w:rsidRPr="007C60BF">
        <w:rPr>
          <w:rFonts w:ascii="Times New Roman" w:hAnsi="Times New Roman"/>
          <w:sz w:val="28"/>
          <w:szCs w:val="28"/>
        </w:rPr>
        <w:t>ã bãi bỏ quy định thẩm quyền xác nhận hợp đồng thuê lại đất trong khu công nghiệp của Ban Q</w:t>
      </w:r>
      <w:r w:rsidR="001875B3" w:rsidRPr="007C60BF">
        <w:rPr>
          <w:rFonts w:ascii="Times New Roman" w:hAnsi="Times New Roman"/>
          <w:sz w:val="28"/>
          <w:szCs w:val="28"/>
        </w:rPr>
        <w:t>u</w:t>
      </w:r>
      <w:r w:rsidR="00392830" w:rsidRPr="007C60BF">
        <w:rPr>
          <w:rFonts w:ascii="Times New Roman" w:hAnsi="Times New Roman"/>
          <w:sz w:val="28"/>
          <w:szCs w:val="28"/>
        </w:rPr>
        <w:t>ản lý các khu công nghiệp.</w:t>
      </w:r>
      <w:r w:rsidR="001875B3" w:rsidRPr="007C60BF">
        <w:rPr>
          <w:rFonts w:ascii="Times New Roman" w:hAnsi="Times New Roman"/>
          <w:sz w:val="28"/>
          <w:szCs w:val="28"/>
        </w:rPr>
        <w:t xml:space="preserve"> </w:t>
      </w:r>
      <w:r w:rsidRPr="007C60BF">
        <w:rPr>
          <w:rFonts w:ascii="Times New Roman" w:hAnsi="Times New Roman"/>
          <w:sz w:val="28"/>
          <w:szCs w:val="28"/>
        </w:rPr>
        <w:t>Việc xác nhận hợp đồng thuê lại đất trong khu công nghiệp được thực hiện theo quy định của pháp luật.</w:t>
      </w:r>
    </w:p>
    <w:p w14:paraId="49BE07F4" w14:textId="77777777" w:rsidR="00835E65" w:rsidRPr="007C60BF" w:rsidRDefault="00835E65" w:rsidP="007C60BF">
      <w:pPr>
        <w:spacing w:before="120" w:after="120"/>
        <w:ind w:firstLine="709"/>
        <w:jc w:val="both"/>
        <w:rPr>
          <w:rFonts w:ascii="Times New Roman" w:hAnsi="Times New Roman"/>
          <w:i/>
          <w:sz w:val="28"/>
          <w:szCs w:val="28"/>
          <w:shd w:val="clear" w:color="auto" w:fill="FFFFFF"/>
        </w:rPr>
      </w:pPr>
      <w:r w:rsidRPr="007C60BF">
        <w:rPr>
          <w:rFonts w:ascii="Times New Roman" w:hAnsi="Times New Roman"/>
          <w:sz w:val="28"/>
          <w:szCs w:val="28"/>
        </w:rPr>
        <w:t>- Tại khoản 2 Điều 119 Bộ luật Dân sự 2015 quy định</w:t>
      </w:r>
      <w:r w:rsidRPr="007C60BF">
        <w:rPr>
          <w:rFonts w:ascii="Times New Roman" w:hAnsi="Times New Roman"/>
          <w:i/>
          <w:sz w:val="28"/>
          <w:szCs w:val="28"/>
        </w:rPr>
        <w:t xml:space="preserve">: </w:t>
      </w:r>
      <w:proofErr w:type="gramStart"/>
      <w:r w:rsidRPr="007C60BF">
        <w:rPr>
          <w:rFonts w:ascii="Times New Roman" w:hAnsi="Times New Roman"/>
          <w:i/>
          <w:sz w:val="28"/>
          <w:szCs w:val="28"/>
          <w:shd w:val="clear" w:color="auto" w:fill="FFFFFF"/>
        </w:rPr>
        <w:t>“ Trường</w:t>
      </w:r>
      <w:proofErr w:type="gramEnd"/>
      <w:r w:rsidRPr="007C60BF">
        <w:rPr>
          <w:rFonts w:ascii="Times New Roman" w:hAnsi="Times New Roman"/>
          <w:i/>
          <w:sz w:val="28"/>
          <w:szCs w:val="28"/>
          <w:shd w:val="clear" w:color="auto" w:fill="FFFFFF"/>
        </w:rPr>
        <w:t xml:space="preserve"> hợp luật quy định giao dịch dân sự phải được thể hiện bằng văn bản có công chứng, chứng thực, đăng ký thì phải tuân theo quy định đó”.</w:t>
      </w:r>
    </w:p>
    <w:p w14:paraId="1A43FD80" w14:textId="77777777" w:rsidR="00835E65" w:rsidRPr="007C60BF" w:rsidRDefault="00835E65" w:rsidP="007C60BF">
      <w:pPr>
        <w:spacing w:before="120" w:after="120"/>
        <w:ind w:firstLine="709"/>
        <w:rPr>
          <w:rFonts w:ascii="Times New Roman" w:hAnsi="Times New Roman"/>
          <w:i/>
          <w:sz w:val="28"/>
          <w:szCs w:val="28"/>
        </w:rPr>
      </w:pPr>
      <w:r w:rsidRPr="007C60BF">
        <w:rPr>
          <w:rFonts w:ascii="Times New Roman" w:hAnsi="Times New Roman"/>
          <w:sz w:val="28"/>
          <w:szCs w:val="28"/>
        </w:rPr>
        <w:t>- Tại Điều 403 Bộ luật Dân sự 2015 quy định</w:t>
      </w:r>
      <w:r w:rsidRPr="007C60BF">
        <w:rPr>
          <w:rFonts w:ascii="Times New Roman" w:hAnsi="Times New Roman"/>
          <w:i/>
          <w:sz w:val="28"/>
          <w:szCs w:val="28"/>
        </w:rPr>
        <w:t>:</w:t>
      </w:r>
    </w:p>
    <w:p w14:paraId="3D60D385" w14:textId="77777777" w:rsidR="00835E65" w:rsidRPr="007C60BF" w:rsidRDefault="00835E65" w:rsidP="007C60BF">
      <w:pPr>
        <w:pStyle w:val="NormalWeb"/>
        <w:shd w:val="clear" w:color="auto" w:fill="FFFFFF"/>
        <w:spacing w:before="120" w:beforeAutospacing="0" w:after="120" w:afterAutospacing="0"/>
        <w:ind w:firstLine="709"/>
        <w:jc w:val="both"/>
        <w:rPr>
          <w:i/>
          <w:sz w:val="28"/>
          <w:szCs w:val="28"/>
        </w:rPr>
      </w:pPr>
      <w:r w:rsidRPr="007C60BF">
        <w:rPr>
          <w:i/>
          <w:sz w:val="28"/>
          <w:szCs w:val="28"/>
        </w:rPr>
        <w:t>“1. Hợp đồng có thể có phụ lục kèm theo để quy định chi tiết một số điều khoản của hợp đồng. Phụ lục hợp đồng có hiệu lực như hợp đồng. Nội dung của phụ lục hợp đồng không được trái với nội dung của hợp đồng.</w:t>
      </w:r>
    </w:p>
    <w:p w14:paraId="469F5BC0" w14:textId="77777777" w:rsidR="00835E65" w:rsidRPr="007C60BF" w:rsidRDefault="00835E65"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rP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14:paraId="095AAF28" w14:textId="77777777" w:rsidR="004B13BC" w:rsidRPr="007C60BF" w:rsidRDefault="004B13BC" w:rsidP="007C60BF">
      <w:pPr>
        <w:spacing w:before="120" w:after="120"/>
        <w:ind w:firstLine="709"/>
        <w:rPr>
          <w:rFonts w:ascii="Times New Roman" w:hAnsi="Times New Roman"/>
          <w:sz w:val="28"/>
          <w:szCs w:val="28"/>
        </w:rPr>
      </w:pPr>
      <w:r w:rsidRPr="007C60BF">
        <w:rPr>
          <w:rFonts w:ascii="Times New Roman" w:hAnsi="Times New Roman"/>
          <w:sz w:val="28"/>
          <w:szCs w:val="28"/>
        </w:rPr>
        <w:t>- Tại điểm a, điểm b khoản 3 Điều 27 Luật Đất đai năm 2024 quy định:</w:t>
      </w:r>
    </w:p>
    <w:p w14:paraId="76FE3738" w14:textId="77777777" w:rsidR="004B13BC" w:rsidRPr="007C60BF" w:rsidRDefault="004B13BC" w:rsidP="007C60BF">
      <w:pPr>
        <w:pStyle w:val="NormalWeb"/>
        <w:shd w:val="clear" w:color="auto" w:fill="FFFFFF"/>
        <w:spacing w:before="120" w:beforeAutospacing="0" w:after="120" w:afterAutospacing="0"/>
        <w:ind w:firstLine="709"/>
        <w:jc w:val="both"/>
        <w:rPr>
          <w:i/>
          <w:sz w:val="28"/>
          <w:szCs w:val="28"/>
        </w:rPr>
      </w:pPr>
      <w:r w:rsidRPr="007C60BF">
        <w:rPr>
          <w:sz w:val="28"/>
          <w:szCs w:val="28"/>
        </w:rPr>
        <w:t>“</w:t>
      </w:r>
      <w:r w:rsidRPr="007C60BF">
        <w:rPr>
          <w:i/>
          <w:sz w:val="28"/>
          <w:szCs w:val="28"/>
          <w:lang w:val="am-ET"/>
        </w:rPr>
        <w:t>3. </w:t>
      </w:r>
      <w:r w:rsidRPr="007C60BF">
        <w:rPr>
          <w:i/>
          <w:sz w:val="28"/>
          <w:szCs w:val="28"/>
        </w:rPr>
        <w:t>Việc công chứng, chứng thực hợp đồng, văn bản thực hiện các quyền của người sử dụng đất được thực hiện như sau:</w:t>
      </w:r>
    </w:p>
    <w:p w14:paraId="11994733" w14:textId="77777777" w:rsidR="004B13BC" w:rsidRPr="007C60BF" w:rsidRDefault="004B13BC"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14:paraId="404D19B6" w14:textId="3D267AB1" w:rsidR="004B13BC" w:rsidRPr="007C60BF" w:rsidRDefault="004B13BC" w:rsidP="007C60BF">
      <w:pPr>
        <w:shd w:val="clear" w:color="auto" w:fill="FFFFFF"/>
        <w:spacing w:before="120" w:after="120"/>
        <w:ind w:firstLine="709"/>
        <w:jc w:val="both"/>
        <w:rPr>
          <w:rFonts w:ascii="Times New Roman" w:hAnsi="Times New Roman"/>
          <w:i/>
          <w:sz w:val="28"/>
          <w:szCs w:val="28"/>
        </w:rPr>
      </w:pPr>
      <w:r w:rsidRPr="007C60BF">
        <w:rPr>
          <w:rFonts w:ascii="Times New Roman" w:hAnsi="Times New Roman"/>
          <w:i/>
          <w:sz w:val="28"/>
          <w:szCs w:val="28"/>
        </w:rPr>
        <w:t xml:space="preserve">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w:t>
      </w:r>
      <w:proofErr w:type="gramStart"/>
      <w:r w:rsidRPr="007C60BF">
        <w:rPr>
          <w:rFonts w:ascii="Times New Roman" w:hAnsi="Times New Roman"/>
          <w:i/>
          <w:sz w:val="28"/>
          <w:szCs w:val="28"/>
        </w:rPr>
        <w:t>bên;…</w:t>
      </w:r>
      <w:proofErr w:type="gramEnd"/>
      <w:r w:rsidRPr="007C60BF">
        <w:rPr>
          <w:rFonts w:ascii="Times New Roman" w:hAnsi="Times New Roman"/>
          <w:i/>
          <w:sz w:val="28"/>
          <w:szCs w:val="28"/>
        </w:rPr>
        <w:t>”</w:t>
      </w:r>
    </w:p>
    <w:p w14:paraId="42CC0ECC" w14:textId="34BA0871" w:rsidR="0070071E" w:rsidRPr="007C60BF" w:rsidRDefault="00792DD0"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t xml:space="preserve">Như vậy việc </w:t>
      </w:r>
      <w:r w:rsidR="00121413" w:rsidRPr="007C60BF">
        <w:rPr>
          <w:rFonts w:ascii="Times New Roman" w:hAnsi="Times New Roman"/>
          <w:sz w:val="28"/>
          <w:szCs w:val="28"/>
        </w:rPr>
        <w:t xml:space="preserve">ký </w:t>
      </w:r>
      <w:r w:rsidRPr="007C60BF">
        <w:rPr>
          <w:rFonts w:ascii="Times New Roman" w:hAnsi="Times New Roman"/>
          <w:sz w:val="28"/>
          <w:szCs w:val="28"/>
        </w:rPr>
        <w:t>Phụ lục hợp đồng Công ty TNHH Tân Phát Đức Trọng v</w:t>
      </w:r>
      <w:r w:rsidR="00037DB3" w:rsidRPr="007C60BF">
        <w:rPr>
          <w:rFonts w:ascii="Times New Roman" w:hAnsi="Times New Roman"/>
          <w:sz w:val="28"/>
          <w:szCs w:val="28"/>
        </w:rPr>
        <w:t>ới</w:t>
      </w:r>
      <w:r w:rsidRPr="007C60BF">
        <w:rPr>
          <w:rFonts w:ascii="Times New Roman" w:hAnsi="Times New Roman"/>
          <w:sz w:val="28"/>
          <w:szCs w:val="28"/>
        </w:rPr>
        <w:t xml:space="preserve"> Công ty phát triển hạ tầng Khu công nghiệp Lộc Sơn – Phú Hội không bắt buộc phải công chứng mà thực hiện theo yêu cầu của các bên.</w:t>
      </w:r>
    </w:p>
    <w:p w14:paraId="6CA7EA25" w14:textId="08E84C4B" w:rsidR="00A24109" w:rsidRPr="00E90FB8" w:rsidRDefault="00A24109" w:rsidP="007C60BF">
      <w:pPr>
        <w:shd w:val="clear" w:color="auto" w:fill="FFFFFF"/>
        <w:spacing w:before="120" w:after="120"/>
        <w:ind w:firstLine="709"/>
        <w:jc w:val="both"/>
        <w:rPr>
          <w:rFonts w:ascii="Times New Roman" w:hAnsi="Times New Roman"/>
          <w:sz w:val="28"/>
          <w:szCs w:val="28"/>
        </w:rPr>
      </w:pPr>
      <w:r w:rsidRPr="007C60BF">
        <w:rPr>
          <w:rFonts w:ascii="Times New Roman" w:hAnsi="Times New Roman"/>
          <w:sz w:val="28"/>
          <w:szCs w:val="28"/>
        </w:rPr>
        <w:lastRenderedPageBreak/>
        <w:t xml:space="preserve">Trên đây là </w:t>
      </w:r>
      <w:r w:rsidR="006D14CD" w:rsidRPr="007C60BF">
        <w:rPr>
          <w:rFonts w:ascii="Times New Roman" w:hAnsi="Times New Roman"/>
          <w:sz w:val="28"/>
          <w:szCs w:val="28"/>
        </w:rPr>
        <w:t xml:space="preserve">ý kiến của Sở Tư pháp về tính pháp lý của Hợp đồng thuê lại đất </w:t>
      </w:r>
      <w:r w:rsidR="00037DB3" w:rsidRPr="007C60BF">
        <w:rPr>
          <w:rFonts w:ascii="Times New Roman" w:hAnsi="Times New Roman"/>
          <w:sz w:val="28"/>
          <w:szCs w:val="28"/>
        </w:rPr>
        <w:t>giữa Công ty TNHH sản xuất và thuơng mại Tân Phát với Công ty phát triển hạ tầng Khu Công nghiệp Lộc Sơn – Phú hội</w:t>
      </w:r>
      <w:r w:rsidR="00037DB3" w:rsidRPr="007C60BF">
        <w:rPr>
          <w:rFonts w:ascii="Times New Roman" w:hAnsi="Times New Roman"/>
          <w:sz w:val="28"/>
          <w:szCs w:val="28"/>
        </w:rPr>
        <w:t xml:space="preserve"> </w:t>
      </w:r>
      <w:r w:rsidR="006D14CD" w:rsidRPr="007C60BF">
        <w:rPr>
          <w:rFonts w:ascii="Times New Roman" w:hAnsi="Times New Roman"/>
          <w:sz w:val="28"/>
          <w:szCs w:val="28"/>
        </w:rPr>
        <w:t>và Phụ lục Hợp đồng thuê lại đất của Công ty TNHH Tân Phát Đức Trọng</w:t>
      </w:r>
      <w:r w:rsidR="007C60BF" w:rsidRPr="007C60BF">
        <w:rPr>
          <w:rFonts w:ascii="Times New Roman" w:hAnsi="Times New Roman"/>
          <w:sz w:val="28"/>
          <w:szCs w:val="28"/>
        </w:rPr>
        <w:t xml:space="preserve"> với </w:t>
      </w:r>
      <w:r w:rsidR="007C60BF" w:rsidRPr="007C60BF">
        <w:rPr>
          <w:rFonts w:ascii="Times New Roman" w:hAnsi="Times New Roman"/>
          <w:sz w:val="28"/>
          <w:szCs w:val="28"/>
        </w:rPr>
        <w:t>Công ty phát triển hạ tầng Khu Công nghiệp Lộc Sơn – Phú hội</w:t>
      </w:r>
      <w:r w:rsidRPr="007C60BF">
        <w:rPr>
          <w:rFonts w:ascii="Times New Roman" w:hAnsi="Times New Roman"/>
          <w:sz w:val="28"/>
          <w:szCs w:val="28"/>
        </w:rPr>
        <w:t>,</w:t>
      </w:r>
      <w:r w:rsidRPr="007C60BF">
        <w:rPr>
          <w:rFonts w:ascii="Times New Roman" w:hAnsi="Times New Roman"/>
          <w:sz w:val="28"/>
          <w:szCs w:val="28"/>
        </w:rPr>
        <w:t xml:space="preserve"> </w:t>
      </w:r>
      <w:r w:rsidR="00F75B4E" w:rsidRPr="007C60BF">
        <w:rPr>
          <w:rFonts w:ascii="Times New Roman" w:hAnsi="Times New Roman"/>
          <w:sz w:val="28"/>
          <w:szCs w:val="28"/>
        </w:rPr>
        <w:t xml:space="preserve">Sở Tư pháp </w:t>
      </w:r>
      <w:r w:rsidRPr="007C60BF">
        <w:rPr>
          <w:rFonts w:ascii="Times New Roman" w:hAnsi="Times New Roman"/>
          <w:sz w:val="28"/>
          <w:szCs w:val="28"/>
        </w:rPr>
        <w:t xml:space="preserve">kính gửi </w:t>
      </w:r>
      <w:r w:rsidR="006D14CD" w:rsidRPr="007C60BF">
        <w:rPr>
          <w:rFonts w:ascii="Times New Roman" w:hAnsi="Times New Roman"/>
          <w:sz w:val="28"/>
          <w:szCs w:val="28"/>
        </w:rPr>
        <w:t xml:space="preserve">Văn phòng đăng ký đất đai </w:t>
      </w:r>
      <w:r w:rsidR="00AD0FF3" w:rsidRPr="007C60BF">
        <w:rPr>
          <w:rFonts w:ascii="Times New Roman" w:hAnsi="Times New Roman"/>
          <w:sz w:val="28"/>
          <w:szCs w:val="28"/>
        </w:rPr>
        <w:t xml:space="preserve">được biết, </w:t>
      </w:r>
      <w:r w:rsidR="006D14CD" w:rsidRPr="007C60BF">
        <w:rPr>
          <w:rFonts w:ascii="Times New Roman" w:hAnsi="Times New Roman"/>
          <w:sz w:val="28"/>
          <w:szCs w:val="28"/>
        </w:rPr>
        <w:t>tham khảo</w:t>
      </w:r>
      <w:r w:rsidRPr="007C60BF">
        <w:rPr>
          <w:rFonts w:ascii="Times New Roman" w:hAnsi="Times New Roman"/>
          <w:sz w:val="28"/>
          <w:szCs w:val="28"/>
        </w:rPr>
        <w:t>./.</w:t>
      </w:r>
    </w:p>
    <w:p w14:paraId="37A163ED" w14:textId="77777777" w:rsidR="00D467DB" w:rsidRPr="00D467DB" w:rsidRDefault="00D467DB" w:rsidP="00A43D21">
      <w:pPr>
        <w:spacing w:before="120" w:after="80" w:line="312" w:lineRule="auto"/>
        <w:ind w:firstLine="675"/>
        <w:jc w:val="both"/>
        <w:rPr>
          <w:rFonts w:ascii="Times New Roman" w:hAnsi="Times New Roman"/>
          <w:sz w:val="4"/>
          <w:szCs w:val="28"/>
        </w:rPr>
      </w:pPr>
    </w:p>
    <w:tbl>
      <w:tblPr>
        <w:tblW w:w="9205" w:type="dxa"/>
        <w:jc w:val="center"/>
        <w:tblLook w:val="01E0" w:firstRow="1" w:lastRow="1" w:firstColumn="1" w:lastColumn="1" w:noHBand="0" w:noVBand="0"/>
      </w:tblPr>
      <w:tblGrid>
        <w:gridCol w:w="4097"/>
        <w:gridCol w:w="5108"/>
      </w:tblGrid>
      <w:tr w:rsidR="0066011F" w14:paraId="3C139FC9" w14:textId="77777777" w:rsidTr="009B7F31">
        <w:trPr>
          <w:trHeight w:val="80"/>
          <w:jc w:val="center"/>
        </w:trPr>
        <w:tc>
          <w:tcPr>
            <w:tcW w:w="4097" w:type="dxa"/>
            <w:hideMark/>
          </w:tcPr>
          <w:p w14:paraId="4583426E" w14:textId="77777777" w:rsidR="0066011F" w:rsidRDefault="0066011F" w:rsidP="009113F0">
            <w:pPr>
              <w:jc w:val="both"/>
              <w:rPr>
                <w:rFonts w:ascii="Times New Roman" w:hAnsi="Times New Roman"/>
                <w:b/>
                <w:bCs/>
                <w:sz w:val="24"/>
                <w:szCs w:val="24"/>
              </w:rPr>
            </w:pPr>
            <w:r>
              <w:rPr>
                <w:rFonts w:ascii="Times New Roman" w:hAnsi="Times New Roman"/>
                <w:b/>
                <w:bCs/>
                <w:i/>
                <w:iCs/>
                <w:sz w:val="24"/>
                <w:szCs w:val="24"/>
              </w:rPr>
              <w:t>Nơi nhận:</w:t>
            </w:r>
          </w:p>
          <w:p w14:paraId="57984CCD" w14:textId="77777777" w:rsidR="0066011F" w:rsidRDefault="0066011F" w:rsidP="009113F0">
            <w:pPr>
              <w:jc w:val="both"/>
              <w:rPr>
                <w:rFonts w:ascii="Times New Roman" w:hAnsi="Times New Roman"/>
                <w:sz w:val="22"/>
                <w:szCs w:val="22"/>
              </w:rPr>
            </w:pPr>
            <w:r>
              <w:rPr>
                <w:rFonts w:ascii="Times New Roman" w:hAnsi="Times New Roman"/>
                <w:sz w:val="22"/>
                <w:szCs w:val="22"/>
              </w:rPr>
              <w:t>- Như trên;</w:t>
            </w:r>
          </w:p>
          <w:p w14:paraId="08C74252" w14:textId="77777777" w:rsidR="0066011F" w:rsidRDefault="0066011F" w:rsidP="009113F0">
            <w:pPr>
              <w:jc w:val="both"/>
              <w:rPr>
                <w:rFonts w:ascii="Times New Roman" w:hAnsi="Times New Roman"/>
                <w:sz w:val="22"/>
                <w:szCs w:val="22"/>
              </w:rPr>
            </w:pPr>
            <w:r>
              <w:rPr>
                <w:rFonts w:ascii="Times New Roman" w:hAnsi="Times New Roman"/>
                <w:sz w:val="22"/>
                <w:szCs w:val="22"/>
              </w:rPr>
              <w:t>- Giám đốc;</w:t>
            </w:r>
          </w:p>
          <w:p w14:paraId="5F480234" w14:textId="77777777" w:rsidR="0066011F" w:rsidRDefault="0066011F" w:rsidP="009113F0">
            <w:pPr>
              <w:jc w:val="both"/>
              <w:rPr>
                <w:rFonts w:ascii="Times New Roman" w:hAnsi="Times New Roman"/>
                <w:sz w:val="22"/>
                <w:szCs w:val="22"/>
              </w:rPr>
            </w:pPr>
            <w:r>
              <w:rPr>
                <w:rFonts w:ascii="Times New Roman" w:hAnsi="Times New Roman"/>
                <w:sz w:val="22"/>
                <w:szCs w:val="22"/>
              </w:rPr>
              <w:t>- Phó Giám đốc phụ trách;</w:t>
            </w:r>
          </w:p>
          <w:p w14:paraId="68896A7E" w14:textId="77777777" w:rsidR="0066011F" w:rsidRDefault="0066011F" w:rsidP="009113F0">
            <w:pPr>
              <w:jc w:val="both"/>
              <w:rPr>
                <w:rFonts w:ascii="Times New Roman" w:hAnsi="Times New Roman"/>
                <w:sz w:val="22"/>
                <w:szCs w:val="22"/>
              </w:rPr>
            </w:pPr>
            <w:r>
              <w:rPr>
                <w:rFonts w:ascii="Times New Roman" w:hAnsi="Times New Roman"/>
                <w:sz w:val="22"/>
                <w:szCs w:val="22"/>
              </w:rPr>
              <w:t>- Trang TTĐT Sở Tư pháp;</w:t>
            </w:r>
          </w:p>
          <w:p w14:paraId="7AC7494C" w14:textId="77777777" w:rsidR="0066011F" w:rsidRDefault="0066011F" w:rsidP="009113F0">
            <w:pPr>
              <w:jc w:val="both"/>
              <w:rPr>
                <w:rFonts w:ascii="Times New Roman" w:hAnsi="Times New Roman"/>
                <w:sz w:val="28"/>
                <w:szCs w:val="28"/>
              </w:rPr>
            </w:pPr>
            <w:r>
              <w:rPr>
                <w:rFonts w:ascii="Times New Roman" w:hAnsi="Times New Roman"/>
                <w:sz w:val="22"/>
                <w:szCs w:val="22"/>
              </w:rPr>
              <w:t>- Lưu: VT, BTTP.</w:t>
            </w:r>
          </w:p>
          <w:p w14:paraId="4A53ED88" w14:textId="77777777" w:rsidR="0066011F" w:rsidRDefault="0066011F" w:rsidP="009113F0">
            <w:pPr>
              <w:jc w:val="both"/>
              <w:rPr>
                <w:rFonts w:ascii="Times New Roman" w:hAnsi="Times New Roman"/>
                <w:i/>
                <w:iCs/>
                <w:sz w:val="22"/>
                <w:szCs w:val="22"/>
              </w:rPr>
            </w:pPr>
          </w:p>
        </w:tc>
        <w:tc>
          <w:tcPr>
            <w:tcW w:w="5108" w:type="dxa"/>
          </w:tcPr>
          <w:p w14:paraId="10CC5D3D" w14:textId="6D1DB6B8" w:rsidR="0066011F" w:rsidRDefault="00494687" w:rsidP="009113F0">
            <w:pPr>
              <w:jc w:val="center"/>
              <w:rPr>
                <w:rFonts w:ascii="Times New Roman" w:hAnsi="Times New Roman"/>
                <w:b/>
                <w:bCs/>
                <w:sz w:val="28"/>
                <w:szCs w:val="28"/>
              </w:rPr>
            </w:pPr>
            <w:r>
              <w:rPr>
                <w:rFonts w:ascii="Times New Roman" w:hAnsi="Times New Roman"/>
                <w:b/>
                <w:bCs/>
                <w:sz w:val="28"/>
                <w:szCs w:val="28"/>
              </w:rPr>
              <w:t xml:space="preserve">KT. </w:t>
            </w:r>
            <w:r w:rsidR="0066011F" w:rsidRPr="001C1B7B">
              <w:rPr>
                <w:rFonts w:ascii="Times New Roman" w:hAnsi="Times New Roman"/>
                <w:b/>
                <w:bCs/>
                <w:sz w:val="28"/>
                <w:szCs w:val="28"/>
              </w:rPr>
              <w:t>GIÁM ĐỐC</w:t>
            </w:r>
          </w:p>
          <w:p w14:paraId="27F7B41F" w14:textId="74CB23BA" w:rsidR="00494687" w:rsidRDefault="00494687" w:rsidP="009113F0">
            <w:pPr>
              <w:jc w:val="center"/>
              <w:rPr>
                <w:rFonts w:ascii="Times New Roman" w:hAnsi="Times New Roman"/>
                <w:b/>
                <w:bCs/>
                <w:sz w:val="28"/>
                <w:szCs w:val="28"/>
              </w:rPr>
            </w:pPr>
            <w:r>
              <w:rPr>
                <w:rFonts w:ascii="Times New Roman" w:hAnsi="Times New Roman"/>
                <w:b/>
                <w:bCs/>
                <w:sz w:val="28"/>
                <w:szCs w:val="28"/>
              </w:rPr>
              <w:t>PHÓ GIÁM ĐỐC</w:t>
            </w:r>
          </w:p>
          <w:p w14:paraId="0B21B70B" w14:textId="77777777" w:rsidR="0066011F" w:rsidRDefault="0066011F" w:rsidP="009113F0">
            <w:pPr>
              <w:jc w:val="center"/>
              <w:rPr>
                <w:rFonts w:ascii="Times New Roman" w:hAnsi="Times New Roman"/>
                <w:b/>
                <w:bCs/>
                <w:sz w:val="28"/>
                <w:szCs w:val="28"/>
              </w:rPr>
            </w:pPr>
          </w:p>
          <w:p w14:paraId="2777D838" w14:textId="77777777" w:rsidR="008B49C7" w:rsidRDefault="008B49C7" w:rsidP="009113F0">
            <w:pPr>
              <w:jc w:val="center"/>
              <w:rPr>
                <w:rFonts w:ascii="Times New Roman" w:hAnsi="Times New Roman"/>
                <w:b/>
                <w:bCs/>
                <w:sz w:val="28"/>
                <w:szCs w:val="28"/>
              </w:rPr>
            </w:pPr>
          </w:p>
          <w:p w14:paraId="3BAEB12A" w14:textId="4786C2A8" w:rsidR="0037320F" w:rsidRDefault="0037320F" w:rsidP="0094583E">
            <w:pPr>
              <w:rPr>
                <w:rFonts w:ascii="Times New Roman" w:hAnsi="Times New Roman"/>
                <w:b/>
                <w:bCs/>
                <w:sz w:val="28"/>
                <w:szCs w:val="28"/>
              </w:rPr>
            </w:pPr>
          </w:p>
          <w:p w14:paraId="17E687EB" w14:textId="77777777" w:rsidR="008C1A49" w:rsidRDefault="008C1A49" w:rsidP="0094583E">
            <w:pPr>
              <w:rPr>
                <w:rFonts w:ascii="Times New Roman" w:hAnsi="Times New Roman"/>
                <w:b/>
                <w:bCs/>
                <w:sz w:val="28"/>
                <w:szCs w:val="28"/>
              </w:rPr>
            </w:pPr>
          </w:p>
          <w:p w14:paraId="37CF6369" w14:textId="77777777" w:rsidR="00CF68A1" w:rsidRDefault="00CF68A1" w:rsidP="0094583E">
            <w:pPr>
              <w:rPr>
                <w:rFonts w:ascii="Times New Roman" w:hAnsi="Times New Roman"/>
                <w:b/>
                <w:bCs/>
                <w:sz w:val="28"/>
                <w:szCs w:val="28"/>
              </w:rPr>
            </w:pPr>
          </w:p>
          <w:p w14:paraId="2A25941A" w14:textId="77777777" w:rsidR="00A43D21" w:rsidRPr="001C1B7B" w:rsidRDefault="00A43D21" w:rsidP="0094583E">
            <w:pPr>
              <w:rPr>
                <w:rFonts w:ascii="Times New Roman" w:hAnsi="Times New Roman"/>
                <w:b/>
                <w:bCs/>
                <w:sz w:val="28"/>
                <w:szCs w:val="28"/>
              </w:rPr>
            </w:pPr>
          </w:p>
          <w:p w14:paraId="7EAF84EE" w14:textId="2BC1896A" w:rsidR="0066011F" w:rsidRPr="00A43D21" w:rsidRDefault="00494687" w:rsidP="00A43D21">
            <w:pPr>
              <w:jc w:val="center"/>
              <w:rPr>
                <w:rFonts w:ascii="Times New Roman" w:hAnsi="Times New Roman"/>
                <w:b/>
                <w:bCs/>
                <w:sz w:val="28"/>
                <w:szCs w:val="28"/>
              </w:rPr>
            </w:pPr>
            <w:r>
              <w:rPr>
                <w:rFonts w:ascii="Times New Roman" w:hAnsi="Times New Roman"/>
                <w:b/>
                <w:bCs/>
                <w:sz w:val="28"/>
                <w:szCs w:val="28"/>
              </w:rPr>
              <w:t>Trần Thanh Tài</w:t>
            </w:r>
          </w:p>
          <w:p w14:paraId="2E8B9659" w14:textId="77777777" w:rsidR="0066011F" w:rsidRPr="000E7A81" w:rsidRDefault="0066011F" w:rsidP="0094583E">
            <w:pPr>
              <w:rPr>
                <w:rFonts w:ascii="Times New Roman" w:hAnsi="Times New Roman"/>
                <w:b/>
                <w:bCs/>
                <w:sz w:val="28"/>
                <w:szCs w:val="28"/>
              </w:rPr>
            </w:pPr>
          </w:p>
        </w:tc>
      </w:tr>
    </w:tbl>
    <w:p w14:paraId="57E5B87C" w14:textId="77777777" w:rsidR="00DE2897" w:rsidRDefault="00DE2897" w:rsidP="0094583E">
      <w:pPr>
        <w:pStyle w:val="normal-p"/>
        <w:widowControl w:val="0"/>
        <w:spacing w:before="120" w:beforeAutospacing="0" w:after="80" w:afterAutospacing="0" w:line="264" w:lineRule="auto"/>
        <w:jc w:val="both"/>
        <w:rPr>
          <w:sz w:val="28"/>
          <w:szCs w:val="28"/>
        </w:rPr>
      </w:pPr>
    </w:p>
    <w:sectPr w:rsidR="00DE2897" w:rsidSect="00104C0B">
      <w:headerReference w:type="default" r:id="rId10"/>
      <w:head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1217F" w14:textId="77777777" w:rsidR="003311AD" w:rsidRDefault="003311AD" w:rsidP="007055C7">
      <w:r>
        <w:separator/>
      </w:r>
    </w:p>
  </w:endnote>
  <w:endnote w:type="continuationSeparator" w:id="0">
    <w:p w14:paraId="623035EF" w14:textId="77777777" w:rsidR="003311AD" w:rsidRDefault="003311AD" w:rsidP="0070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DC3F" w14:textId="77777777" w:rsidR="003311AD" w:rsidRDefault="003311AD" w:rsidP="007055C7">
      <w:r>
        <w:separator/>
      </w:r>
    </w:p>
  </w:footnote>
  <w:footnote w:type="continuationSeparator" w:id="0">
    <w:p w14:paraId="70C20E01" w14:textId="77777777" w:rsidR="003311AD" w:rsidRDefault="003311AD" w:rsidP="007055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619381"/>
      <w:docPartObj>
        <w:docPartGallery w:val="Page Numbers (Top of Page)"/>
        <w:docPartUnique/>
      </w:docPartObj>
    </w:sdtPr>
    <w:sdtEndPr>
      <w:rPr>
        <w:noProof/>
      </w:rPr>
    </w:sdtEndPr>
    <w:sdtContent>
      <w:p w14:paraId="020A5D80" w14:textId="048D0D85" w:rsidR="00836CD2" w:rsidRDefault="00836CD2">
        <w:pPr>
          <w:pStyle w:val="Header"/>
          <w:jc w:val="center"/>
        </w:pPr>
        <w:r>
          <w:fldChar w:fldCharType="begin"/>
        </w:r>
        <w:r>
          <w:instrText xml:space="preserve"> PAGE   \* MERGEFORMAT </w:instrText>
        </w:r>
        <w:r>
          <w:fldChar w:fldCharType="separate"/>
        </w:r>
        <w:r w:rsidR="007C60BF">
          <w:rPr>
            <w:noProof/>
          </w:rPr>
          <w:t>4</w:t>
        </w:r>
        <w:r>
          <w:rPr>
            <w:noProof/>
          </w:rPr>
          <w:fldChar w:fldCharType="end"/>
        </w:r>
      </w:p>
    </w:sdtContent>
  </w:sdt>
  <w:p w14:paraId="47409CB5" w14:textId="30A3DF87" w:rsidR="00C81C50" w:rsidRDefault="00C81C50" w:rsidP="00007116">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63243" w14:textId="183D213D" w:rsidR="00007116" w:rsidRDefault="00007116">
    <w:pPr>
      <w:pStyle w:val="Header"/>
      <w:jc w:val="center"/>
    </w:pPr>
  </w:p>
  <w:p w14:paraId="68432F78" w14:textId="77777777" w:rsidR="00007116" w:rsidRDefault="000071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1FD"/>
    <w:multiLevelType w:val="hybridMultilevel"/>
    <w:tmpl w:val="BAF4AA40"/>
    <w:lvl w:ilvl="0" w:tplc="DE5C073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489345D"/>
    <w:multiLevelType w:val="hybridMultilevel"/>
    <w:tmpl w:val="82AA5140"/>
    <w:lvl w:ilvl="0" w:tplc="5F1C3F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853ECC"/>
    <w:multiLevelType w:val="hybridMultilevel"/>
    <w:tmpl w:val="A894B1D6"/>
    <w:lvl w:ilvl="0" w:tplc="BD9C8F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33F"/>
    <w:multiLevelType w:val="hybridMultilevel"/>
    <w:tmpl w:val="A282DD52"/>
    <w:lvl w:ilvl="0" w:tplc="D7C43D9A">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F0E1134"/>
    <w:multiLevelType w:val="hybridMultilevel"/>
    <w:tmpl w:val="74D8272A"/>
    <w:lvl w:ilvl="0" w:tplc="52421F8A">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87B71"/>
    <w:multiLevelType w:val="hybridMultilevel"/>
    <w:tmpl w:val="BD4CB770"/>
    <w:lvl w:ilvl="0" w:tplc="5F1C3FD0">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0BC5"/>
    <w:multiLevelType w:val="hybridMultilevel"/>
    <w:tmpl w:val="45007BFC"/>
    <w:lvl w:ilvl="0" w:tplc="5F1C3F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E2D1005"/>
    <w:multiLevelType w:val="hybridMultilevel"/>
    <w:tmpl w:val="2670DB92"/>
    <w:lvl w:ilvl="0" w:tplc="4FCC93CA">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F59062B"/>
    <w:multiLevelType w:val="multilevel"/>
    <w:tmpl w:val="978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87995"/>
    <w:multiLevelType w:val="hybridMultilevel"/>
    <w:tmpl w:val="8FA29CA4"/>
    <w:lvl w:ilvl="0" w:tplc="41F6D7C8">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155D3"/>
    <w:multiLevelType w:val="hybridMultilevel"/>
    <w:tmpl w:val="6E7AC7DE"/>
    <w:lvl w:ilvl="0" w:tplc="E2686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847D6"/>
    <w:multiLevelType w:val="hybridMultilevel"/>
    <w:tmpl w:val="4BDC86F8"/>
    <w:lvl w:ilvl="0" w:tplc="5A1E83BA">
      <w:start w:val="1"/>
      <w:numFmt w:val="lowerLetter"/>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24F6E60"/>
    <w:multiLevelType w:val="hybridMultilevel"/>
    <w:tmpl w:val="153A9534"/>
    <w:lvl w:ilvl="0" w:tplc="67FCC20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5AFF413B"/>
    <w:multiLevelType w:val="hybridMultilevel"/>
    <w:tmpl w:val="875EAA56"/>
    <w:lvl w:ilvl="0" w:tplc="5F1C3FD0">
      <w:start w:val="1"/>
      <w:numFmt w:val="lowerLetter"/>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F487E86"/>
    <w:multiLevelType w:val="multilevel"/>
    <w:tmpl w:val="6CE4E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9573AB"/>
    <w:multiLevelType w:val="hybridMultilevel"/>
    <w:tmpl w:val="45007BFC"/>
    <w:lvl w:ilvl="0" w:tplc="5F1C3F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3E3268E"/>
    <w:multiLevelType w:val="hybridMultilevel"/>
    <w:tmpl w:val="8E4094C4"/>
    <w:lvl w:ilvl="0" w:tplc="36189EC6">
      <w:numFmt w:val="bullet"/>
      <w:lvlText w:val="-"/>
      <w:lvlJc w:val="left"/>
      <w:pPr>
        <w:ind w:left="928" w:hanging="360"/>
      </w:pPr>
      <w:rPr>
        <w:rFonts w:ascii="VNI-Times" w:eastAsia="Times New Roman" w:hAnsi="VNI-Times"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D9F0D2F"/>
    <w:multiLevelType w:val="hybridMultilevel"/>
    <w:tmpl w:val="AB7C4968"/>
    <w:lvl w:ilvl="0" w:tplc="0162689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6"/>
  </w:num>
  <w:num w:numId="2">
    <w:abstractNumId w:val="2"/>
  </w:num>
  <w:num w:numId="3">
    <w:abstractNumId w:val="11"/>
  </w:num>
  <w:num w:numId="4">
    <w:abstractNumId w:val="12"/>
  </w:num>
  <w:num w:numId="5">
    <w:abstractNumId w:val="1"/>
  </w:num>
  <w:num w:numId="6">
    <w:abstractNumId w:val="13"/>
  </w:num>
  <w:num w:numId="7">
    <w:abstractNumId w:val="5"/>
  </w:num>
  <w:num w:numId="8">
    <w:abstractNumId w:val="17"/>
  </w:num>
  <w:num w:numId="9">
    <w:abstractNumId w:val="15"/>
  </w:num>
  <w:num w:numId="10">
    <w:abstractNumId w:val="10"/>
  </w:num>
  <w:num w:numId="11">
    <w:abstractNumId w:val="9"/>
  </w:num>
  <w:num w:numId="12">
    <w:abstractNumId w:val="6"/>
  </w:num>
  <w:num w:numId="13">
    <w:abstractNumId w:val="3"/>
  </w:num>
  <w:num w:numId="14">
    <w:abstractNumId w:val="7"/>
  </w:num>
  <w:num w:numId="15">
    <w:abstractNumId w:val="0"/>
  </w:num>
  <w:num w:numId="16">
    <w:abstractNumId w:val="8"/>
    <w:lvlOverride w:ilvl="0">
      <w:lvl w:ilvl="0">
        <w:numFmt w:val="decimal"/>
        <w:lvlText w:val="%1."/>
        <w:lvlJc w:val="left"/>
      </w:lvl>
    </w:lvlOverride>
  </w:num>
  <w:num w:numId="17">
    <w:abstractNumId w:val="14"/>
  </w:num>
  <w:num w:numId="18">
    <w:abstractNumId w:val="14"/>
    <w:lvlOverride w:ilvl="1">
      <w:lvl w:ilvl="1">
        <w:numFmt w:val="decimal"/>
        <w:lvlText w:val="%2."/>
        <w:lvlJc w:val="left"/>
      </w:lvl>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33"/>
    <w:rsid w:val="000005B5"/>
    <w:rsid w:val="000027BC"/>
    <w:rsid w:val="00005701"/>
    <w:rsid w:val="00006893"/>
    <w:rsid w:val="000069BD"/>
    <w:rsid w:val="00007116"/>
    <w:rsid w:val="00024B4A"/>
    <w:rsid w:val="00025155"/>
    <w:rsid w:val="000271C5"/>
    <w:rsid w:val="0003062A"/>
    <w:rsid w:val="00033883"/>
    <w:rsid w:val="000345F7"/>
    <w:rsid w:val="00035262"/>
    <w:rsid w:val="00037DB3"/>
    <w:rsid w:val="00043E87"/>
    <w:rsid w:val="000511A7"/>
    <w:rsid w:val="00052E64"/>
    <w:rsid w:val="00057C9F"/>
    <w:rsid w:val="00060A46"/>
    <w:rsid w:val="00063EDA"/>
    <w:rsid w:val="00063F4F"/>
    <w:rsid w:val="00067888"/>
    <w:rsid w:val="0007553C"/>
    <w:rsid w:val="00077DCF"/>
    <w:rsid w:val="000804F5"/>
    <w:rsid w:val="00094036"/>
    <w:rsid w:val="00097F6C"/>
    <w:rsid w:val="000A40E4"/>
    <w:rsid w:val="000A5AC0"/>
    <w:rsid w:val="000A6D29"/>
    <w:rsid w:val="000B4FC7"/>
    <w:rsid w:val="000B5818"/>
    <w:rsid w:val="000B69E9"/>
    <w:rsid w:val="000C44E5"/>
    <w:rsid w:val="000D1A8A"/>
    <w:rsid w:val="000D38C4"/>
    <w:rsid w:val="000D6DCD"/>
    <w:rsid w:val="000E7A81"/>
    <w:rsid w:val="000F22D3"/>
    <w:rsid w:val="000F262B"/>
    <w:rsid w:val="000F3EDC"/>
    <w:rsid w:val="000F5235"/>
    <w:rsid w:val="001008FD"/>
    <w:rsid w:val="00100E20"/>
    <w:rsid w:val="00104C0B"/>
    <w:rsid w:val="001068E1"/>
    <w:rsid w:val="00110A95"/>
    <w:rsid w:val="00121413"/>
    <w:rsid w:val="001215D7"/>
    <w:rsid w:val="00122C5F"/>
    <w:rsid w:val="00123E63"/>
    <w:rsid w:val="0012400F"/>
    <w:rsid w:val="00125651"/>
    <w:rsid w:val="0013092B"/>
    <w:rsid w:val="00130DAE"/>
    <w:rsid w:val="001320DF"/>
    <w:rsid w:val="00135139"/>
    <w:rsid w:val="00136430"/>
    <w:rsid w:val="00146AED"/>
    <w:rsid w:val="00153828"/>
    <w:rsid w:val="0015608B"/>
    <w:rsid w:val="001561AE"/>
    <w:rsid w:val="001616FB"/>
    <w:rsid w:val="00173073"/>
    <w:rsid w:val="0017420C"/>
    <w:rsid w:val="00183407"/>
    <w:rsid w:val="00186421"/>
    <w:rsid w:val="001875B3"/>
    <w:rsid w:val="001912B5"/>
    <w:rsid w:val="00191A81"/>
    <w:rsid w:val="00193FD1"/>
    <w:rsid w:val="00194FFB"/>
    <w:rsid w:val="001B6604"/>
    <w:rsid w:val="001C06EE"/>
    <w:rsid w:val="001C1B7B"/>
    <w:rsid w:val="001D02AE"/>
    <w:rsid w:val="001D403F"/>
    <w:rsid w:val="001D64DD"/>
    <w:rsid w:val="001D7596"/>
    <w:rsid w:val="001E1376"/>
    <w:rsid w:val="001E338A"/>
    <w:rsid w:val="001E4417"/>
    <w:rsid w:val="001F48CB"/>
    <w:rsid w:val="002010B0"/>
    <w:rsid w:val="00203FF3"/>
    <w:rsid w:val="00204A21"/>
    <w:rsid w:val="00204E6C"/>
    <w:rsid w:val="00221DA0"/>
    <w:rsid w:val="0022274F"/>
    <w:rsid w:val="002253B7"/>
    <w:rsid w:val="00227C44"/>
    <w:rsid w:val="00230687"/>
    <w:rsid w:val="002319E5"/>
    <w:rsid w:val="002325E6"/>
    <w:rsid w:val="00233476"/>
    <w:rsid w:val="00234DC4"/>
    <w:rsid w:val="00244825"/>
    <w:rsid w:val="002449D9"/>
    <w:rsid w:val="00244D08"/>
    <w:rsid w:val="00254878"/>
    <w:rsid w:val="00255F27"/>
    <w:rsid w:val="002563AB"/>
    <w:rsid w:val="00260041"/>
    <w:rsid w:val="002621B5"/>
    <w:rsid w:val="00265D85"/>
    <w:rsid w:val="00271864"/>
    <w:rsid w:val="002746DD"/>
    <w:rsid w:val="00275C97"/>
    <w:rsid w:val="00277B62"/>
    <w:rsid w:val="00280D26"/>
    <w:rsid w:val="0028189A"/>
    <w:rsid w:val="00281D64"/>
    <w:rsid w:val="002874AF"/>
    <w:rsid w:val="00293E7E"/>
    <w:rsid w:val="00295F0D"/>
    <w:rsid w:val="002A0751"/>
    <w:rsid w:val="002A1CA6"/>
    <w:rsid w:val="002A3C10"/>
    <w:rsid w:val="002A74C2"/>
    <w:rsid w:val="002B0DB4"/>
    <w:rsid w:val="002B2553"/>
    <w:rsid w:val="002C17AE"/>
    <w:rsid w:val="002D02FF"/>
    <w:rsid w:val="002D2AF9"/>
    <w:rsid w:val="002D43CB"/>
    <w:rsid w:val="002D7EED"/>
    <w:rsid w:val="002E78FE"/>
    <w:rsid w:val="002F1962"/>
    <w:rsid w:val="002F684A"/>
    <w:rsid w:val="002F7C0F"/>
    <w:rsid w:val="00300BBD"/>
    <w:rsid w:val="003025FC"/>
    <w:rsid w:val="00302642"/>
    <w:rsid w:val="00306DA2"/>
    <w:rsid w:val="00317B65"/>
    <w:rsid w:val="00326D6F"/>
    <w:rsid w:val="00330D45"/>
    <w:rsid w:val="003311AD"/>
    <w:rsid w:val="0034096E"/>
    <w:rsid w:val="00344612"/>
    <w:rsid w:val="00356898"/>
    <w:rsid w:val="0035760D"/>
    <w:rsid w:val="003715DF"/>
    <w:rsid w:val="0037320F"/>
    <w:rsid w:val="00373948"/>
    <w:rsid w:val="00384B54"/>
    <w:rsid w:val="00385A15"/>
    <w:rsid w:val="00385E85"/>
    <w:rsid w:val="00392782"/>
    <w:rsid w:val="00392830"/>
    <w:rsid w:val="00394FC3"/>
    <w:rsid w:val="003955BC"/>
    <w:rsid w:val="003A0F62"/>
    <w:rsid w:val="003A1811"/>
    <w:rsid w:val="003A1C94"/>
    <w:rsid w:val="003B017C"/>
    <w:rsid w:val="003B0CCD"/>
    <w:rsid w:val="003B3AB5"/>
    <w:rsid w:val="003C5D6E"/>
    <w:rsid w:val="003C7091"/>
    <w:rsid w:val="003C7BC9"/>
    <w:rsid w:val="003D40BA"/>
    <w:rsid w:val="003D699F"/>
    <w:rsid w:val="003E0592"/>
    <w:rsid w:val="003E0A99"/>
    <w:rsid w:val="003E11EA"/>
    <w:rsid w:val="003E21AF"/>
    <w:rsid w:val="003E32F1"/>
    <w:rsid w:val="003E756B"/>
    <w:rsid w:val="003F3A51"/>
    <w:rsid w:val="00403965"/>
    <w:rsid w:val="00403FCA"/>
    <w:rsid w:val="00405580"/>
    <w:rsid w:val="00406B9D"/>
    <w:rsid w:val="00423C66"/>
    <w:rsid w:val="00427D2E"/>
    <w:rsid w:val="00427EB2"/>
    <w:rsid w:val="004354B6"/>
    <w:rsid w:val="00441172"/>
    <w:rsid w:val="00451122"/>
    <w:rsid w:val="004551DF"/>
    <w:rsid w:val="004638CD"/>
    <w:rsid w:val="00466020"/>
    <w:rsid w:val="00466EBA"/>
    <w:rsid w:val="00485D4C"/>
    <w:rsid w:val="00493596"/>
    <w:rsid w:val="00494687"/>
    <w:rsid w:val="004A5530"/>
    <w:rsid w:val="004A79B7"/>
    <w:rsid w:val="004B13BC"/>
    <w:rsid w:val="004B4820"/>
    <w:rsid w:val="004B4C9D"/>
    <w:rsid w:val="004B5EA9"/>
    <w:rsid w:val="004B64EF"/>
    <w:rsid w:val="004C033F"/>
    <w:rsid w:val="004C0D56"/>
    <w:rsid w:val="004D07E1"/>
    <w:rsid w:val="004D21E4"/>
    <w:rsid w:val="004D2C5B"/>
    <w:rsid w:val="004D3596"/>
    <w:rsid w:val="004D453A"/>
    <w:rsid w:val="004E03A2"/>
    <w:rsid w:val="004E103E"/>
    <w:rsid w:val="004E6964"/>
    <w:rsid w:val="005006E8"/>
    <w:rsid w:val="005035BC"/>
    <w:rsid w:val="00503A7C"/>
    <w:rsid w:val="005045DD"/>
    <w:rsid w:val="0050606D"/>
    <w:rsid w:val="00507551"/>
    <w:rsid w:val="00517695"/>
    <w:rsid w:val="005252CC"/>
    <w:rsid w:val="00526BD1"/>
    <w:rsid w:val="00531EF5"/>
    <w:rsid w:val="00551117"/>
    <w:rsid w:val="00554A7A"/>
    <w:rsid w:val="005551F9"/>
    <w:rsid w:val="005712C3"/>
    <w:rsid w:val="00573771"/>
    <w:rsid w:val="0057387A"/>
    <w:rsid w:val="0057620F"/>
    <w:rsid w:val="00580FCC"/>
    <w:rsid w:val="00584BCD"/>
    <w:rsid w:val="00584E49"/>
    <w:rsid w:val="00587705"/>
    <w:rsid w:val="005907F9"/>
    <w:rsid w:val="005916F4"/>
    <w:rsid w:val="00595E08"/>
    <w:rsid w:val="00596F4D"/>
    <w:rsid w:val="005A15B4"/>
    <w:rsid w:val="005A47D0"/>
    <w:rsid w:val="005A5985"/>
    <w:rsid w:val="005B1103"/>
    <w:rsid w:val="005B1EBC"/>
    <w:rsid w:val="005B29D2"/>
    <w:rsid w:val="005C3F72"/>
    <w:rsid w:val="005C48BA"/>
    <w:rsid w:val="005D126C"/>
    <w:rsid w:val="005D3F37"/>
    <w:rsid w:val="005D415A"/>
    <w:rsid w:val="005E0293"/>
    <w:rsid w:val="005E073B"/>
    <w:rsid w:val="005E2840"/>
    <w:rsid w:val="005E493F"/>
    <w:rsid w:val="005F4C44"/>
    <w:rsid w:val="00600EB1"/>
    <w:rsid w:val="00601C3A"/>
    <w:rsid w:val="00602989"/>
    <w:rsid w:val="0060305A"/>
    <w:rsid w:val="00611938"/>
    <w:rsid w:val="00612297"/>
    <w:rsid w:val="006150C5"/>
    <w:rsid w:val="00622219"/>
    <w:rsid w:val="00632643"/>
    <w:rsid w:val="006373E5"/>
    <w:rsid w:val="00641F31"/>
    <w:rsid w:val="00642C73"/>
    <w:rsid w:val="006446B0"/>
    <w:rsid w:val="0064779F"/>
    <w:rsid w:val="006546B1"/>
    <w:rsid w:val="00654B84"/>
    <w:rsid w:val="00656EED"/>
    <w:rsid w:val="006577C9"/>
    <w:rsid w:val="0066011F"/>
    <w:rsid w:val="006724E7"/>
    <w:rsid w:val="00674D89"/>
    <w:rsid w:val="00676192"/>
    <w:rsid w:val="00677249"/>
    <w:rsid w:val="00681152"/>
    <w:rsid w:val="00685776"/>
    <w:rsid w:val="006A068C"/>
    <w:rsid w:val="006A1CFE"/>
    <w:rsid w:val="006A2967"/>
    <w:rsid w:val="006A4157"/>
    <w:rsid w:val="006B0CCB"/>
    <w:rsid w:val="006B112E"/>
    <w:rsid w:val="006B5D2D"/>
    <w:rsid w:val="006C20A2"/>
    <w:rsid w:val="006D062C"/>
    <w:rsid w:val="006D14CD"/>
    <w:rsid w:val="006D5A12"/>
    <w:rsid w:val="006D7C9D"/>
    <w:rsid w:val="006E1EE7"/>
    <w:rsid w:val="006E2AD2"/>
    <w:rsid w:val="006E3472"/>
    <w:rsid w:val="006E725B"/>
    <w:rsid w:val="006F2618"/>
    <w:rsid w:val="006F409E"/>
    <w:rsid w:val="006F6918"/>
    <w:rsid w:val="0070071E"/>
    <w:rsid w:val="00700F5F"/>
    <w:rsid w:val="007043C2"/>
    <w:rsid w:val="00704BF2"/>
    <w:rsid w:val="007055C7"/>
    <w:rsid w:val="007073C0"/>
    <w:rsid w:val="0071250A"/>
    <w:rsid w:val="00716E2A"/>
    <w:rsid w:val="007176CE"/>
    <w:rsid w:val="00721FAC"/>
    <w:rsid w:val="00723958"/>
    <w:rsid w:val="00727953"/>
    <w:rsid w:val="00732B30"/>
    <w:rsid w:val="00734265"/>
    <w:rsid w:val="00747E86"/>
    <w:rsid w:val="00750EE4"/>
    <w:rsid w:val="00753BEF"/>
    <w:rsid w:val="00756997"/>
    <w:rsid w:val="00757FAC"/>
    <w:rsid w:val="00761C21"/>
    <w:rsid w:val="0076259F"/>
    <w:rsid w:val="00763F88"/>
    <w:rsid w:val="00777AC6"/>
    <w:rsid w:val="0078163A"/>
    <w:rsid w:val="00792DD0"/>
    <w:rsid w:val="00797AD8"/>
    <w:rsid w:val="007A28BE"/>
    <w:rsid w:val="007A44E2"/>
    <w:rsid w:val="007A73EB"/>
    <w:rsid w:val="007B28FA"/>
    <w:rsid w:val="007B341C"/>
    <w:rsid w:val="007B4683"/>
    <w:rsid w:val="007B7EA3"/>
    <w:rsid w:val="007C1571"/>
    <w:rsid w:val="007C32ED"/>
    <w:rsid w:val="007C60BF"/>
    <w:rsid w:val="007D2C0A"/>
    <w:rsid w:val="007D5221"/>
    <w:rsid w:val="007D79BD"/>
    <w:rsid w:val="007E0498"/>
    <w:rsid w:val="007F2D33"/>
    <w:rsid w:val="007F74C8"/>
    <w:rsid w:val="008053CC"/>
    <w:rsid w:val="008053D5"/>
    <w:rsid w:val="00805CC1"/>
    <w:rsid w:val="00806902"/>
    <w:rsid w:val="008113BC"/>
    <w:rsid w:val="008156C3"/>
    <w:rsid w:val="008211CC"/>
    <w:rsid w:val="00821568"/>
    <w:rsid w:val="008226EB"/>
    <w:rsid w:val="00822BE5"/>
    <w:rsid w:val="0082333E"/>
    <w:rsid w:val="00824A2B"/>
    <w:rsid w:val="00835E65"/>
    <w:rsid w:val="00836CD2"/>
    <w:rsid w:val="00841306"/>
    <w:rsid w:val="008435C5"/>
    <w:rsid w:val="00855337"/>
    <w:rsid w:val="00855B09"/>
    <w:rsid w:val="00860846"/>
    <w:rsid w:val="008735D0"/>
    <w:rsid w:val="00875FAD"/>
    <w:rsid w:val="008774F0"/>
    <w:rsid w:val="0088157C"/>
    <w:rsid w:val="00883B35"/>
    <w:rsid w:val="008854BF"/>
    <w:rsid w:val="008854E7"/>
    <w:rsid w:val="0088738E"/>
    <w:rsid w:val="00895AB9"/>
    <w:rsid w:val="008A38EE"/>
    <w:rsid w:val="008A68C3"/>
    <w:rsid w:val="008B2D0E"/>
    <w:rsid w:val="008B49C7"/>
    <w:rsid w:val="008B4DB4"/>
    <w:rsid w:val="008B63F5"/>
    <w:rsid w:val="008B7299"/>
    <w:rsid w:val="008C1A49"/>
    <w:rsid w:val="008C1EEC"/>
    <w:rsid w:val="008C4529"/>
    <w:rsid w:val="008C58EC"/>
    <w:rsid w:val="008C5E03"/>
    <w:rsid w:val="008C6E1E"/>
    <w:rsid w:val="008D1B53"/>
    <w:rsid w:val="008D687D"/>
    <w:rsid w:val="008D6C59"/>
    <w:rsid w:val="008E1C0F"/>
    <w:rsid w:val="008E7D38"/>
    <w:rsid w:val="008F001B"/>
    <w:rsid w:val="008F04B1"/>
    <w:rsid w:val="008F0FB7"/>
    <w:rsid w:val="00900ECF"/>
    <w:rsid w:val="00903016"/>
    <w:rsid w:val="009037A0"/>
    <w:rsid w:val="00903F45"/>
    <w:rsid w:val="0091388D"/>
    <w:rsid w:val="00917ECC"/>
    <w:rsid w:val="009201CF"/>
    <w:rsid w:val="009228D4"/>
    <w:rsid w:val="00923CD8"/>
    <w:rsid w:val="009245AD"/>
    <w:rsid w:val="00925308"/>
    <w:rsid w:val="00927D1D"/>
    <w:rsid w:val="009310C5"/>
    <w:rsid w:val="00940397"/>
    <w:rsid w:val="009409E9"/>
    <w:rsid w:val="0094583E"/>
    <w:rsid w:val="00946BF8"/>
    <w:rsid w:val="00950C39"/>
    <w:rsid w:val="00952116"/>
    <w:rsid w:val="00975921"/>
    <w:rsid w:val="00980F4E"/>
    <w:rsid w:val="009845E7"/>
    <w:rsid w:val="009858B7"/>
    <w:rsid w:val="00990AA5"/>
    <w:rsid w:val="00990F8E"/>
    <w:rsid w:val="00991722"/>
    <w:rsid w:val="009A3897"/>
    <w:rsid w:val="009A75C7"/>
    <w:rsid w:val="009B4750"/>
    <w:rsid w:val="009B5906"/>
    <w:rsid w:val="009B7D04"/>
    <w:rsid w:val="009B7F31"/>
    <w:rsid w:val="009C12CC"/>
    <w:rsid w:val="009C2354"/>
    <w:rsid w:val="009D16F3"/>
    <w:rsid w:val="009D3F91"/>
    <w:rsid w:val="009D50D9"/>
    <w:rsid w:val="009D75B2"/>
    <w:rsid w:val="009E52EE"/>
    <w:rsid w:val="009F6693"/>
    <w:rsid w:val="009F687D"/>
    <w:rsid w:val="00A04E56"/>
    <w:rsid w:val="00A06554"/>
    <w:rsid w:val="00A11C29"/>
    <w:rsid w:val="00A1571D"/>
    <w:rsid w:val="00A172D8"/>
    <w:rsid w:val="00A17E19"/>
    <w:rsid w:val="00A20206"/>
    <w:rsid w:val="00A22602"/>
    <w:rsid w:val="00A24109"/>
    <w:rsid w:val="00A34FE4"/>
    <w:rsid w:val="00A41599"/>
    <w:rsid w:val="00A43D21"/>
    <w:rsid w:val="00A454E3"/>
    <w:rsid w:val="00A52904"/>
    <w:rsid w:val="00A52EC4"/>
    <w:rsid w:val="00A55E58"/>
    <w:rsid w:val="00A56B23"/>
    <w:rsid w:val="00A5728C"/>
    <w:rsid w:val="00A574CF"/>
    <w:rsid w:val="00A57FCB"/>
    <w:rsid w:val="00A6032D"/>
    <w:rsid w:val="00A62661"/>
    <w:rsid w:val="00A66D39"/>
    <w:rsid w:val="00A704A1"/>
    <w:rsid w:val="00A7228B"/>
    <w:rsid w:val="00A77A86"/>
    <w:rsid w:val="00A80251"/>
    <w:rsid w:val="00A87492"/>
    <w:rsid w:val="00A9244A"/>
    <w:rsid w:val="00A939B8"/>
    <w:rsid w:val="00A9523D"/>
    <w:rsid w:val="00A95455"/>
    <w:rsid w:val="00AA02AA"/>
    <w:rsid w:val="00AA6BCB"/>
    <w:rsid w:val="00AB0B3C"/>
    <w:rsid w:val="00AB231C"/>
    <w:rsid w:val="00AB2A6A"/>
    <w:rsid w:val="00AC0F94"/>
    <w:rsid w:val="00AC6052"/>
    <w:rsid w:val="00AC63E8"/>
    <w:rsid w:val="00AC66CC"/>
    <w:rsid w:val="00AD061F"/>
    <w:rsid w:val="00AD0FF3"/>
    <w:rsid w:val="00AD1F6D"/>
    <w:rsid w:val="00AD69A1"/>
    <w:rsid w:val="00AD722D"/>
    <w:rsid w:val="00AE0451"/>
    <w:rsid w:val="00AE3B24"/>
    <w:rsid w:val="00AE5C7F"/>
    <w:rsid w:val="00AE5EC1"/>
    <w:rsid w:val="00AF30CE"/>
    <w:rsid w:val="00AF328C"/>
    <w:rsid w:val="00AF6A8A"/>
    <w:rsid w:val="00B01774"/>
    <w:rsid w:val="00B07A07"/>
    <w:rsid w:val="00B07DCB"/>
    <w:rsid w:val="00B110FC"/>
    <w:rsid w:val="00B22D72"/>
    <w:rsid w:val="00B318F5"/>
    <w:rsid w:val="00B322A0"/>
    <w:rsid w:val="00B32B7E"/>
    <w:rsid w:val="00B33045"/>
    <w:rsid w:val="00B433BC"/>
    <w:rsid w:val="00B50198"/>
    <w:rsid w:val="00B5408A"/>
    <w:rsid w:val="00B55886"/>
    <w:rsid w:val="00B6028D"/>
    <w:rsid w:val="00B6579E"/>
    <w:rsid w:val="00B67ACC"/>
    <w:rsid w:val="00B71B95"/>
    <w:rsid w:val="00B76A0F"/>
    <w:rsid w:val="00B856C8"/>
    <w:rsid w:val="00B87F49"/>
    <w:rsid w:val="00B90EB3"/>
    <w:rsid w:val="00B9126E"/>
    <w:rsid w:val="00BA4161"/>
    <w:rsid w:val="00BA453D"/>
    <w:rsid w:val="00BA4922"/>
    <w:rsid w:val="00BA6A12"/>
    <w:rsid w:val="00BB0D18"/>
    <w:rsid w:val="00BC3421"/>
    <w:rsid w:val="00BC38C5"/>
    <w:rsid w:val="00BC6355"/>
    <w:rsid w:val="00BD039E"/>
    <w:rsid w:val="00BD38BA"/>
    <w:rsid w:val="00BE52D9"/>
    <w:rsid w:val="00BE6390"/>
    <w:rsid w:val="00BE728A"/>
    <w:rsid w:val="00BF1865"/>
    <w:rsid w:val="00BF68F8"/>
    <w:rsid w:val="00C076DD"/>
    <w:rsid w:val="00C07DBD"/>
    <w:rsid w:val="00C10B45"/>
    <w:rsid w:val="00C1561C"/>
    <w:rsid w:val="00C15BAB"/>
    <w:rsid w:val="00C20084"/>
    <w:rsid w:val="00C21E9B"/>
    <w:rsid w:val="00C25935"/>
    <w:rsid w:val="00C3784D"/>
    <w:rsid w:val="00C40420"/>
    <w:rsid w:val="00C44531"/>
    <w:rsid w:val="00C56EBB"/>
    <w:rsid w:val="00C645DA"/>
    <w:rsid w:val="00C65724"/>
    <w:rsid w:val="00C7136A"/>
    <w:rsid w:val="00C72C26"/>
    <w:rsid w:val="00C753CA"/>
    <w:rsid w:val="00C76F4E"/>
    <w:rsid w:val="00C81C50"/>
    <w:rsid w:val="00C9634B"/>
    <w:rsid w:val="00CA376A"/>
    <w:rsid w:val="00CA66E8"/>
    <w:rsid w:val="00CB1035"/>
    <w:rsid w:val="00CB36D8"/>
    <w:rsid w:val="00CB7302"/>
    <w:rsid w:val="00CD08C4"/>
    <w:rsid w:val="00CD1063"/>
    <w:rsid w:val="00CD23EA"/>
    <w:rsid w:val="00CE5F5D"/>
    <w:rsid w:val="00CE7611"/>
    <w:rsid w:val="00CF0FBA"/>
    <w:rsid w:val="00CF1F0D"/>
    <w:rsid w:val="00CF68A1"/>
    <w:rsid w:val="00D03B2D"/>
    <w:rsid w:val="00D065CB"/>
    <w:rsid w:val="00D10B83"/>
    <w:rsid w:val="00D13D7E"/>
    <w:rsid w:val="00D15875"/>
    <w:rsid w:val="00D16F93"/>
    <w:rsid w:val="00D17158"/>
    <w:rsid w:val="00D213F8"/>
    <w:rsid w:val="00D21703"/>
    <w:rsid w:val="00D24F1E"/>
    <w:rsid w:val="00D25823"/>
    <w:rsid w:val="00D26FDD"/>
    <w:rsid w:val="00D27469"/>
    <w:rsid w:val="00D34E2E"/>
    <w:rsid w:val="00D43A0A"/>
    <w:rsid w:val="00D467DB"/>
    <w:rsid w:val="00D54C6B"/>
    <w:rsid w:val="00D61D56"/>
    <w:rsid w:val="00D67C85"/>
    <w:rsid w:val="00D7115C"/>
    <w:rsid w:val="00D743D0"/>
    <w:rsid w:val="00D8379A"/>
    <w:rsid w:val="00D87017"/>
    <w:rsid w:val="00D87E63"/>
    <w:rsid w:val="00D92F8C"/>
    <w:rsid w:val="00DA2751"/>
    <w:rsid w:val="00DA502F"/>
    <w:rsid w:val="00DA5950"/>
    <w:rsid w:val="00DA7D42"/>
    <w:rsid w:val="00DB0D73"/>
    <w:rsid w:val="00DB19F9"/>
    <w:rsid w:val="00DB5834"/>
    <w:rsid w:val="00DC3E78"/>
    <w:rsid w:val="00DC61C7"/>
    <w:rsid w:val="00DD0506"/>
    <w:rsid w:val="00DD686A"/>
    <w:rsid w:val="00DE1D30"/>
    <w:rsid w:val="00DE2897"/>
    <w:rsid w:val="00DF5A0D"/>
    <w:rsid w:val="00DF64CB"/>
    <w:rsid w:val="00DF6FAF"/>
    <w:rsid w:val="00DF74F7"/>
    <w:rsid w:val="00E04B41"/>
    <w:rsid w:val="00E06781"/>
    <w:rsid w:val="00E1042F"/>
    <w:rsid w:val="00E12C81"/>
    <w:rsid w:val="00E2043E"/>
    <w:rsid w:val="00E204FE"/>
    <w:rsid w:val="00E21138"/>
    <w:rsid w:val="00E36D4D"/>
    <w:rsid w:val="00E406EC"/>
    <w:rsid w:val="00E40788"/>
    <w:rsid w:val="00E44C12"/>
    <w:rsid w:val="00E47E53"/>
    <w:rsid w:val="00E47E6D"/>
    <w:rsid w:val="00E5131B"/>
    <w:rsid w:val="00E5207F"/>
    <w:rsid w:val="00E56A0C"/>
    <w:rsid w:val="00E70904"/>
    <w:rsid w:val="00E71CE7"/>
    <w:rsid w:val="00E7305D"/>
    <w:rsid w:val="00E752C4"/>
    <w:rsid w:val="00E80605"/>
    <w:rsid w:val="00E90FB8"/>
    <w:rsid w:val="00E93870"/>
    <w:rsid w:val="00E93CE6"/>
    <w:rsid w:val="00EA181B"/>
    <w:rsid w:val="00EB509B"/>
    <w:rsid w:val="00EB6A66"/>
    <w:rsid w:val="00EC3F48"/>
    <w:rsid w:val="00ED0E11"/>
    <w:rsid w:val="00ED30A3"/>
    <w:rsid w:val="00ED5984"/>
    <w:rsid w:val="00ED75DB"/>
    <w:rsid w:val="00EE181B"/>
    <w:rsid w:val="00EE75AB"/>
    <w:rsid w:val="00EE79A8"/>
    <w:rsid w:val="00EF028B"/>
    <w:rsid w:val="00EF03C0"/>
    <w:rsid w:val="00EF3BF3"/>
    <w:rsid w:val="00EF75B4"/>
    <w:rsid w:val="00F02496"/>
    <w:rsid w:val="00F05743"/>
    <w:rsid w:val="00F06EEF"/>
    <w:rsid w:val="00F115FD"/>
    <w:rsid w:val="00F24D7F"/>
    <w:rsid w:val="00F25E89"/>
    <w:rsid w:val="00F27371"/>
    <w:rsid w:val="00F3190B"/>
    <w:rsid w:val="00F331F3"/>
    <w:rsid w:val="00F33593"/>
    <w:rsid w:val="00F3723D"/>
    <w:rsid w:val="00F422FE"/>
    <w:rsid w:val="00F43223"/>
    <w:rsid w:val="00F4403F"/>
    <w:rsid w:val="00F4444C"/>
    <w:rsid w:val="00F460DC"/>
    <w:rsid w:val="00F468FA"/>
    <w:rsid w:val="00F51008"/>
    <w:rsid w:val="00F52221"/>
    <w:rsid w:val="00F5694C"/>
    <w:rsid w:val="00F626CF"/>
    <w:rsid w:val="00F6452F"/>
    <w:rsid w:val="00F64587"/>
    <w:rsid w:val="00F646A8"/>
    <w:rsid w:val="00F64F9F"/>
    <w:rsid w:val="00F65629"/>
    <w:rsid w:val="00F67B48"/>
    <w:rsid w:val="00F70F51"/>
    <w:rsid w:val="00F71F3D"/>
    <w:rsid w:val="00F74CEA"/>
    <w:rsid w:val="00F75B4E"/>
    <w:rsid w:val="00F80C6D"/>
    <w:rsid w:val="00F8282A"/>
    <w:rsid w:val="00F82F4B"/>
    <w:rsid w:val="00F914F6"/>
    <w:rsid w:val="00F93138"/>
    <w:rsid w:val="00F93526"/>
    <w:rsid w:val="00F95079"/>
    <w:rsid w:val="00FA154E"/>
    <w:rsid w:val="00FA76A8"/>
    <w:rsid w:val="00FB0AAE"/>
    <w:rsid w:val="00FB1819"/>
    <w:rsid w:val="00FB2C4A"/>
    <w:rsid w:val="00FB632F"/>
    <w:rsid w:val="00FC24C4"/>
    <w:rsid w:val="00FC3C66"/>
    <w:rsid w:val="00FC455F"/>
    <w:rsid w:val="00FD0901"/>
    <w:rsid w:val="00FD683F"/>
    <w:rsid w:val="00FE39FE"/>
    <w:rsid w:val="00FE3AD2"/>
    <w:rsid w:val="00FE4276"/>
    <w:rsid w:val="00FF1562"/>
    <w:rsid w:val="00FF3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7875"/>
  <w15:docId w15:val="{BFC1E616-DE79-4C15-A47B-5BF9E73A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D33"/>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7F2D33"/>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D33"/>
    <w:rPr>
      <w:rFonts w:ascii="VNI-Times" w:eastAsia="Times New Roman" w:hAnsi="VNI-Times" w:cs="Times New Roman"/>
      <w:sz w:val="26"/>
      <w:szCs w:val="20"/>
      <w:u w:val="single"/>
    </w:rPr>
  </w:style>
  <w:style w:type="paragraph" w:styleId="ListParagraph">
    <w:name w:val="List Paragraph"/>
    <w:basedOn w:val="Normal"/>
    <w:uiPriority w:val="34"/>
    <w:qFormat/>
    <w:rsid w:val="007F2D33"/>
    <w:pPr>
      <w:ind w:left="720"/>
      <w:contextualSpacing/>
    </w:pPr>
  </w:style>
  <w:style w:type="character" w:styleId="PlaceholderText">
    <w:name w:val="Placeholder Text"/>
    <w:basedOn w:val="DefaultParagraphFont"/>
    <w:uiPriority w:val="99"/>
    <w:semiHidden/>
    <w:rsid w:val="00AB231C"/>
    <w:rPr>
      <w:color w:val="808080"/>
    </w:rPr>
  </w:style>
  <w:style w:type="paragraph" w:styleId="BalloonText">
    <w:name w:val="Balloon Text"/>
    <w:basedOn w:val="Normal"/>
    <w:link w:val="BalloonTextChar"/>
    <w:uiPriority w:val="99"/>
    <w:semiHidden/>
    <w:unhideWhenUsed/>
    <w:rsid w:val="00AB231C"/>
    <w:rPr>
      <w:rFonts w:ascii="Tahoma" w:hAnsi="Tahoma" w:cs="Tahoma"/>
      <w:sz w:val="16"/>
      <w:szCs w:val="16"/>
    </w:rPr>
  </w:style>
  <w:style w:type="character" w:customStyle="1" w:styleId="BalloonTextChar">
    <w:name w:val="Balloon Text Char"/>
    <w:basedOn w:val="DefaultParagraphFont"/>
    <w:link w:val="BalloonText"/>
    <w:uiPriority w:val="99"/>
    <w:semiHidden/>
    <w:rsid w:val="00AB231C"/>
    <w:rPr>
      <w:rFonts w:ascii="Tahoma" w:eastAsia="Times New Roman" w:hAnsi="Tahoma" w:cs="Tahoma"/>
      <w:sz w:val="16"/>
      <w:szCs w:val="16"/>
    </w:rPr>
  </w:style>
  <w:style w:type="paragraph" w:customStyle="1" w:styleId="normal-p">
    <w:name w:val="normal-p"/>
    <w:basedOn w:val="Normal"/>
    <w:rsid w:val="007D5221"/>
    <w:pPr>
      <w:spacing w:before="100" w:beforeAutospacing="1" w:after="100" w:afterAutospacing="1"/>
    </w:pPr>
    <w:rPr>
      <w:rFonts w:ascii="Times New Roman" w:hAnsi="Times New Roman"/>
      <w:sz w:val="24"/>
      <w:szCs w:val="24"/>
    </w:rPr>
  </w:style>
  <w:style w:type="paragraph" w:customStyle="1" w:styleId="DefaultParagraphFontParaCharCharCharCharChar">
    <w:name w:val="Default Paragraph Font Para Char Char Char Char Char"/>
    <w:autoRedefine/>
    <w:rsid w:val="00CA66E8"/>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7055C7"/>
    <w:pPr>
      <w:tabs>
        <w:tab w:val="center" w:pos="4680"/>
        <w:tab w:val="right" w:pos="9360"/>
      </w:tabs>
    </w:pPr>
  </w:style>
  <w:style w:type="character" w:customStyle="1" w:styleId="HeaderChar">
    <w:name w:val="Header Char"/>
    <w:basedOn w:val="DefaultParagraphFont"/>
    <w:link w:val="Header"/>
    <w:uiPriority w:val="99"/>
    <w:rsid w:val="007055C7"/>
    <w:rPr>
      <w:rFonts w:ascii="VNI-Times" w:eastAsia="Times New Roman" w:hAnsi="VNI-Times" w:cs="Times New Roman"/>
      <w:sz w:val="26"/>
      <w:szCs w:val="20"/>
    </w:rPr>
  </w:style>
  <w:style w:type="paragraph" w:styleId="Footer">
    <w:name w:val="footer"/>
    <w:basedOn w:val="Normal"/>
    <w:link w:val="FooterChar"/>
    <w:uiPriority w:val="99"/>
    <w:unhideWhenUsed/>
    <w:rsid w:val="007055C7"/>
    <w:pPr>
      <w:tabs>
        <w:tab w:val="center" w:pos="4680"/>
        <w:tab w:val="right" w:pos="9360"/>
      </w:tabs>
    </w:pPr>
  </w:style>
  <w:style w:type="character" w:customStyle="1" w:styleId="FooterChar">
    <w:name w:val="Footer Char"/>
    <w:basedOn w:val="DefaultParagraphFont"/>
    <w:link w:val="Footer"/>
    <w:uiPriority w:val="99"/>
    <w:rsid w:val="007055C7"/>
    <w:rPr>
      <w:rFonts w:ascii="VNI-Times" w:eastAsia="Times New Roman" w:hAnsi="VNI-Times" w:cs="Times New Roman"/>
      <w:sz w:val="26"/>
      <w:szCs w:val="20"/>
    </w:rPr>
  </w:style>
  <w:style w:type="paragraph" w:styleId="NormalWeb">
    <w:name w:val="Normal (Web)"/>
    <w:basedOn w:val="Normal"/>
    <w:uiPriority w:val="99"/>
    <w:unhideWhenUsed/>
    <w:rsid w:val="00B07DC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0F262B"/>
  </w:style>
  <w:style w:type="paragraph" w:styleId="BodyTextIndent">
    <w:name w:val="Body Text Indent"/>
    <w:basedOn w:val="Normal"/>
    <w:link w:val="BodyTextIndentChar"/>
    <w:rsid w:val="000F262B"/>
    <w:pPr>
      <w:spacing w:after="120"/>
      <w:ind w:left="360"/>
    </w:pPr>
    <w:rPr>
      <w:rFonts w:ascii="Times New Roman" w:hAnsi="Times New Roman"/>
      <w:sz w:val="28"/>
      <w:szCs w:val="28"/>
    </w:rPr>
  </w:style>
  <w:style w:type="character" w:customStyle="1" w:styleId="BodyTextIndentChar">
    <w:name w:val="Body Text Indent Char"/>
    <w:basedOn w:val="DefaultParagraphFont"/>
    <w:link w:val="BodyTextIndent"/>
    <w:rsid w:val="000F262B"/>
    <w:rPr>
      <w:rFonts w:ascii="Times New Roman" w:eastAsia="Times New Roman" w:hAnsi="Times New Roman" w:cs="Times New Roman"/>
      <w:sz w:val="28"/>
      <w:szCs w:val="28"/>
    </w:rPr>
  </w:style>
  <w:style w:type="table" w:styleId="TableGrid">
    <w:name w:val="Table Grid"/>
    <w:basedOn w:val="TableNormal"/>
    <w:uiPriority w:val="59"/>
    <w:unhideWhenUsed/>
    <w:rsid w:val="0055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948"/>
    <w:rPr>
      <w:color w:val="0000FF"/>
      <w:u w:val="single"/>
    </w:rPr>
  </w:style>
  <w:style w:type="character" w:styleId="Emphasis">
    <w:name w:val="Emphasis"/>
    <w:basedOn w:val="DefaultParagraphFont"/>
    <w:uiPriority w:val="20"/>
    <w:qFormat/>
    <w:rsid w:val="00373948"/>
    <w:rPr>
      <w:i/>
      <w:iCs/>
    </w:rPr>
  </w:style>
  <w:style w:type="character" w:customStyle="1" w:styleId="UnresolvedMention">
    <w:name w:val="Unresolved Mention"/>
    <w:basedOn w:val="DefaultParagraphFont"/>
    <w:uiPriority w:val="99"/>
    <w:semiHidden/>
    <w:unhideWhenUsed/>
    <w:rsid w:val="00761C21"/>
    <w:rPr>
      <w:color w:val="605E5C"/>
      <w:shd w:val="clear" w:color="auto" w:fill="E1DFDD"/>
    </w:rPr>
  </w:style>
  <w:style w:type="character" w:customStyle="1" w:styleId="t286pc">
    <w:name w:val="t286pc"/>
    <w:basedOn w:val="DefaultParagraphFont"/>
    <w:rsid w:val="00503A7C"/>
  </w:style>
  <w:style w:type="character" w:styleId="Strong">
    <w:name w:val="Strong"/>
    <w:basedOn w:val="DefaultParagraphFont"/>
    <w:uiPriority w:val="22"/>
    <w:qFormat/>
    <w:rsid w:val="00503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6942">
      <w:bodyDiv w:val="1"/>
      <w:marLeft w:val="0"/>
      <w:marRight w:val="0"/>
      <w:marTop w:val="0"/>
      <w:marBottom w:val="0"/>
      <w:divBdr>
        <w:top w:val="none" w:sz="0" w:space="0" w:color="auto"/>
        <w:left w:val="none" w:sz="0" w:space="0" w:color="auto"/>
        <w:bottom w:val="none" w:sz="0" w:space="0" w:color="auto"/>
        <w:right w:val="none" w:sz="0" w:space="0" w:color="auto"/>
      </w:divBdr>
    </w:div>
    <w:div w:id="415248036">
      <w:bodyDiv w:val="1"/>
      <w:marLeft w:val="0"/>
      <w:marRight w:val="0"/>
      <w:marTop w:val="0"/>
      <w:marBottom w:val="0"/>
      <w:divBdr>
        <w:top w:val="none" w:sz="0" w:space="0" w:color="auto"/>
        <w:left w:val="none" w:sz="0" w:space="0" w:color="auto"/>
        <w:bottom w:val="none" w:sz="0" w:space="0" w:color="auto"/>
        <w:right w:val="none" w:sz="0" w:space="0" w:color="auto"/>
      </w:divBdr>
    </w:div>
    <w:div w:id="496458032">
      <w:bodyDiv w:val="1"/>
      <w:marLeft w:val="0"/>
      <w:marRight w:val="0"/>
      <w:marTop w:val="0"/>
      <w:marBottom w:val="0"/>
      <w:divBdr>
        <w:top w:val="none" w:sz="0" w:space="0" w:color="auto"/>
        <w:left w:val="none" w:sz="0" w:space="0" w:color="auto"/>
        <w:bottom w:val="none" w:sz="0" w:space="0" w:color="auto"/>
        <w:right w:val="none" w:sz="0" w:space="0" w:color="auto"/>
      </w:divBdr>
    </w:div>
    <w:div w:id="509375200">
      <w:bodyDiv w:val="1"/>
      <w:marLeft w:val="0"/>
      <w:marRight w:val="0"/>
      <w:marTop w:val="0"/>
      <w:marBottom w:val="0"/>
      <w:divBdr>
        <w:top w:val="none" w:sz="0" w:space="0" w:color="auto"/>
        <w:left w:val="none" w:sz="0" w:space="0" w:color="auto"/>
        <w:bottom w:val="none" w:sz="0" w:space="0" w:color="auto"/>
        <w:right w:val="none" w:sz="0" w:space="0" w:color="auto"/>
      </w:divBdr>
    </w:div>
    <w:div w:id="613023980">
      <w:bodyDiv w:val="1"/>
      <w:marLeft w:val="0"/>
      <w:marRight w:val="0"/>
      <w:marTop w:val="0"/>
      <w:marBottom w:val="0"/>
      <w:divBdr>
        <w:top w:val="none" w:sz="0" w:space="0" w:color="auto"/>
        <w:left w:val="none" w:sz="0" w:space="0" w:color="auto"/>
        <w:bottom w:val="none" w:sz="0" w:space="0" w:color="auto"/>
        <w:right w:val="none" w:sz="0" w:space="0" w:color="auto"/>
      </w:divBdr>
    </w:div>
    <w:div w:id="750203613">
      <w:bodyDiv w:val="1"/>
      <w:marLeft w:val="0"/>
      <w:marRight w:val="0"/>
      <w:marTop w:val="0"/>
      <w:marBottom w:val="0"/>
      <w:divBdr>
        <w:top w:val="none" w:sz="0" w:space="0" w:color="auto"/>
        <w:left w:val="none" w:sz="0" w:space="0" w:color="auto"/>
        <w:bottom w:val="none" w:sz="0" w:space="0" w:color="auto"/>
        <w:right w:val="none" w:sz="0" w:space="0" w:color="auto"/>
      </w:divBdr>
    </w:div>
    <w:div w:id="855924372">
      <w:bodyDiv w:val="1"/>
      <w:marLeft w:val="0"/>
      <w:marRight w:val="0"/>
      <w:marTop w:val="0"/>
      <w:marBottom w:val="0"/>
      <w:divBdr>
        <w:top w:val="none" w:sz="0" w:space="0" w:color="auto"/>
        <w:left w:val="none" w:sz="0" w:space="0" w:color="auto"/>
        <w:bottom w:val="none" w:sz="0" w:space="0" w:color="auto"/>
        <w:right w:val="none" w:sz="0" w:space="0" w:color="auto"/>
      </w:divBdr>
    </w:div>
    <w:div w:id="1082483502">
      <w:bodyDiv w:val="1"/>
      <w:marLeft w:val="0"/>
      <w:marRight w:val="0"/>
      <w:marTop w:val="0"/>
      <w:marBottom w:val="0"/>
      <w:divBdr>
        <w:top w:val="none" w:sz="0" w:space="0" w:color="auto"/>
        <w:left w:val="none" w:sz="0" w:space="0" w:color="auto"/>
        <w:bottom w:val="none" w:sz="0" w:space="0" w:color="auto"/>
        <w:right w:val="none" w:sz="0" w:space="0" w:color="auto"/>
      </w:divBdr>
      <w:divsChild>
        <w:div w:id="17568288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2855105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63656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247034829">
      <w:bodyDiv w:val="1"/>
      <w:marLeft w:val="0"/>
      <w:marRight w:val="0"/>
      <w:marTop w:val="0"/>
      <w:marBottom w:val="0"/>
      <w:divBdr>
        <w:top w:val="none" w:sz="0" w:space="0" w:color="auto"/>
        <w:left w:val="none" w:sz="0" w:space="0" w:color="auto"/>
        <w:bottom w:val="none" w:sz="0" w:space="0" w:color="auto"/>
        <w:right w:val="none" w:sz="0" w:space="0" w:color="auto"/>
      </w:divBdr>
      <w:divsChild>
        <w:div w:id="97537961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673075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74865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6625891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250894350">
      <w:bodyDiv w:val="1"/>
      <w:marLeft w:val="0"/>
      <w:marRight w:val="0"/>
      <w:marTop w:val="0"/>
      <w:marBottom w:val="0"/>
      <w:divBdr>
        <w:top w:val="none" w:sz="0" w:space="0" w:color="auto"/>
        <w:left w:val="none" w:sz="0" w:space="0" w:color="auto"/>
        <w:bottom w:val="none" w:sz="0" w:space="0" w:color="auto"/>
        <w:right w:val="none" w:sz="0" w:space="0" w:color="auto"/>
      </w:divBdr>
    </w:div>
    <w:div w:id="1323386817">
      <w:bodyDiv w:val="1"/>
      <w:marLeft w:val="0"/>
      <w:marRight w:val="0"/>
      <w:marTop w:val="0"/>
      <w:marBottom w:val="0"/>
      <w:divBdr>
        <w:top w:val="none" w:sz="0" w:space="0" w:color="auto"/>
        <w:left w:val="none" w:sz="0" w:space="0" w:color="auto"/>
        <w:bottom w:val="none" w:sz="0" w:space="0" w:color="auto"/>
        <w:right w:val="none" w:sz="0" w:space="0" w:color="auto"/>
      </w:divBdr>
    </w:div>
    <w:div w:id="1373308200">
      <w:bodyDiv w:val="1"/>
      <w:marLeft w:val="0"/>
      <w:marRight w:val="0"/>
      <w:marTop w:val="0"/>
      <w:marBottom w:val="0"/>
      <w:divBdr>
        <w:top w:val="none" w:sz="0" w:space="0" w:color="auto"/>
        <w:left w:val="none" w:sz="0" w:space="0" w:color="auto"/>
        <w:bottom w:val="none" w:sz="0" w:space="0" w:color="auto"/>
        <w:right w:val="none" w:sz="0" w:space="0" w:color="auto"/>
      </w:divBdr>
    </w:div>
    <w:div w:id="1397968186">
      <w:bodyDiv w:val="1"/>
      <w:marLeft w:val="0"/>
      <w:marRight w:val="0"/>
      <w:marTop w:val="0"/>
      <w:marBottom w:val="0"/>
      <w:divBdr>
        <w:top w:val="none" w:sz="0" w:space="0" w:color="auto"/>
        <w:left w:val="none" w:sz="0" w:space="0" w:color="auto"/>
        <w:bottom w:val="none" w:sz="0" w:space="0" w:color="auto"/>
        <w:right w:val="none" w:sz="0" w:space="0" w:color="auto"/>
      </w:divBdr>
    </w:div>
    <w:div w:id="1397973134">
      <w:bodyDiv w:val="1"/>
      <w:marLeft w:val="0"/>
      <w:marRight w:val="0"/>
      <w:marTop w:val="0"/>
      <w:marBottom w:val="0"/>
      <w:divBdr>
        <w:top w:val="none" w:sz="0" w:space="0" w:color="auto"/>
        <w:left w:val="none" w:sz="0" w:space="0" w:color="auto"/>
        <w:bottom w:val="none" w:sz="0" w:space="0" w:color="auto"/>
        <w:right w:val="none" w:sz="0" w:space="0" w:color="auto"/>
      </w:divBdr>
    </w:div>
    <w:div w:id="1572621269">
      <w:bodyDiv w:val="1"/>
      <w:marLeft w:val="0"/>
      <w:marRight w:val="0"/>
      <w:marTop w:val="0"/>
      <w:marBottom w:val="0"/>
      <w:divBdr>
        <w:top w:val="none" w:sz="0" w:space="0" w:color="auto"/>
        <w:left w:val="none" w:sz="0" w:space="0" w:color="auto"/>
        <w:bottom w:val="none" w:sz="0" w:space="0" w:color="auto"/>
        <w:right w:val="none" w:sz="0" w:space="0" w:color="auto"/>
      </w:divBdr>
    </w:div>
    <w:div w:id="1673290272">
      <w:bodyDiv w:val="1"/>
      <w:marLeft w:val="0"/>
      <w:marRight w:val="0"/>
      <w:marTop w:val="0"/>
      <w:marBottom w:val="0"/>
      <w:divBdr>
        <w:top w:val="none" w:sz="0" w:space="0" w:color="auto"/>
        <w:left w:val="none" w:sz="0" w:space="0" w:color="auto"/>
        <w:bottom w:val="none" w:sz="0" w:space="0" w:color="auto"/>
        <w:right w:val="none" w:sz="0" w:space="0" w:color="auto"/>
      </w:divBdr>
    </w:div>
    <w:div w:id="1727412695">
      <w:bodyDiv w:val="1"/>
      <w:marLeft w:val="0"/>
      <w:marRight w:val="0"/>
      <w:marTop w:val="0"/>
      <w:marBottom w:val="0"/>
      <w:divBdr>
        <w:top w:val="none" w:sz="0" w:space="0" w:color="auto"/>
        <w:left w:val="none" w:sz="0" w:space="0" w:color="auto"/>
        <w:bottom w:val="none" w:sz="0" w:space="0" w:color="auto"/>
        <w:right w:val="none" w:sz="0" w:space="0" w:color="auto"/>
      </w:divBdr>
    </w:div>
    <w:div w:id="1888368282">
      <w:bodyDiv w:val="1"/>
      <w:marLeft w:val="0"/>
      <w:marRight w:val="0"/>
      <w:marTop w:val="0"/>
      <w:marBottom w:val="0"/>
      <w:divBdr>
        <w:top w:val="none" w:sz="0" w:space="0" w:color="auto"/>
        <w:left w:val="none" w:sz="0" w:space="0" w:color="auto"/>
        <w:bottom w:val="none" w:sz="0" w:space="0" w:color="auto"/>
        <w:right w:val="none" w:sz="0" w:space="0" w:color="auto"/>
      </w:divBdr>
    </w:div>
    <w:div w:id="1927688075">
      <w:bodyDiv w:val="1"/>
      <w:marLeft w:val="0"/>
      <w:marRight w:val="0"/>
      <w:marTop w:val="0"/>
      <w:marBottom w:val="0"/>
      <w:divBdr>
        <w:top w:val="none" w:sz="0" w:space="0" w:color="auto"/>
        <w:left w:val="none" w:sz="0" w:space="0" w:color="auto"/>
        <w:bottom w:val="none" w:sz="0" w:space="0" w:color="auto"/>
        <w:right w:val="none" w:sz="0" w:space="0" w:color="auto"/>
      </w:divBdr>
    </w:div>
    <w:div w:id="20499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87-2004-nd-cp-chuyen-cong-ty-nha-nuoc-thanh-cong-ty-co-phan-5255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oanh-nghiep/nghi-dinh-187-2004-nd-cp-chuyen-cong-ty-nha-nuoc-thanh-cong-ty-co-phan-525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8431C-3114-4B4E-B8A2-E4005247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TrungTin</dc:creator>
  <cp:lastModifiedBy>FPT</cp:lastModifiedBy>
  <cp:revision>173</cp:revision>
  <cp:lastPrinted>2025-02-04T03:53:00Z</cp:lastPrinted>
  <dcterms:created xsi:type="dcterms:W3CDTF">2025-02-04T02:38:00Z</dcterms:created>
  <dcterms:modified xsi:type="dcterms:W3CDTF">2025-11-03T07:07:00Z</dcterms:modified>
</cp:coreProperties>
</file>