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5" w:type="dxa"/>
        <w:tblLayout w:type="fixed"/>
        <w:tblLook w:val="01E0" w:firstRow="1" w:lastRow="1" w:firstColumn="1" w:lastColumn="1" w:noHBand="0" w:noVBand="0"/>
      </w:tblPr>
      <w:tblGrid>
        <w:gridCol w:w="3544"/>
        <w:gridCol w:w="5811"/>
      </w:tblGrid>
      <w:tr w:rsidR="003746DA" w:rsidRPr="00B77D9C" w14:paraId="6B784AB7" w14:textId="77777777" w:rsidTr="001F50C9">
        <w:tc>
          <w:tcPr>
            <w:tcW w:w="3544" w:type="dxa"/>
          </w:tcPr>
          <w:p w14:paraId="56C5BB85" w14:textId="77777777" w:rsidR="003746DA" w:rsidRPr="000F4438" w:rsidRDefault="003746DA" w:rsidP="003734E1">
            <w:pPr>
              <w:spacing w:after="0" w:line="240" w:lineRule="auto"/>
              <w:jc w:val="center"/>
              <w:rPr>
                <w:rFonts w:eastAsia="Times New Roman"/>
                <w:sz w:val="26"/>
                <w:szCs w:val="26"/>
              </w:rPr>
            </w:pPr>
            <w:r w:rsidRPr="000F4438">
              <w:rPr>
                <w:rFonts w:eastAsia="Times New Roman"/>
                <w:sz w:val="26"/>
                <w:szCs w:val="26"/>
              </w:rPr>
              <w:t>UBND TỈNH LÂM ĐỒNG</w:t>
            </w:r>
          </w:p>
          <w:p w14:paraId="7AB7C95C" w14:textId="77777777" w:rsidR="003746DA" w:rsidRPr="000F4438" w:rsidRDefault="003746DA" w:rsidP="003734E1">
            <w:pPr>
              <w:spacing w:after="0" w:line="240" w:lineRule="auto"/>
              <w:jc w:val="center"/>
              <w:rPr>
                <w:rFonts w:eastAsia="Times New Roman"/>
                <w:b/>
                <w:bCs/>
                <w:sz w:val="26"/>
                <w:szCs w:val="26"/>
              </w:rPr>
            </w:pPr>
            <w:r w:rsidRPr="000F4438">
              <w:rPr>
                <w:rFonts w:eastAsia="Times New Roman"/>
                <w:b/>
                <w:bCs/>
                <w:sz w:val="26"/>
                <w:szCs w:val="26"/>
              </w:rPr>
              <w:t>SỞ TƯ PHÁP</w:t>
            </w:r>
          </w:p>
          <w:p w14:paraId="77B4CBC6" w14:textId="560DE0B4" w:rsidR="003746DA" w:rsidRPr="001158C6" w:rsidRDefault="00846611" w:rsidP="00B23653">
            <w:pPr>
              <w:spacing w:before="120" w:after="0" w:line="240" w:lineRule="auto"/>
              <w:jc w:val="center"/>
              <w:rPr>
                <w:rFonts w:eastAsia="Times New Roman"/>
                <w:sz w:val="26"/>
                <w:szCs w:val="26"/>
              </w:rPr>
            </w:pPr>
            <w:r>
              <w:rPr>
                <w:rFonts w:eastAsia="Times New Roman"/>
                <w:noProof/>
                <w:sz w:val="27"/>
                <w:szCs w:val="27"/>
              </w:rPr>
              <mc:AlternateContent>
                <mc:Choice Requires="wps">
                  <w:drawing>
                    <wp:anchor distT="0" distB="0" distL="114300" distR="114300" simplePos="0" relativeHeight="251661312" behindDoc="0" locked="0" layoutInCell="1" allowOverlap="1" wp14:anchorId="2547FFBF" wp14:editId="2F0A4310">
                      <wp:simplePos x="0" y="0"/>
                      <wp:positionH relativeFrom="column">
                        <wp:posOffset>717550</wp:posOffset>
                      </wp:positionH>
                      <wp:positionV relativeFrom="paragraph">
                        <wp:posOffset>26670</wp:posOffset>
                      </wp:positionV>
                      <wp:extent cx="638175" cy="635"/>
                      <wp:effectExtent l="0" t="0" r="2857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A23D9" id="_x0000_t32" coordsize="21600,21600" o:spt="32" o:oned="t" path="m,l21600,21600e" filled="f">
                      <v:path arrowok="t" fillok="f" o:connecttype="none"/>
                      <o:lock v:ext="edit" shapetype="t"/>
                    </v:shapetype>
                    <v:shape id="AutoShape 3" o:spid="_x0000_s1026" type="#_x0000_t32" style="position:absolute;margin-left:56.5pt;margin-top:2.1pt;width:50.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MWHg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"/>
                  </w:pict>
                </mc:Fallback>
              </mc:AlternateContent>
            </w:r>
            <w:r w:rsidR="003746DA" w:rsidRPr="001158C6">
              <w:rPr>
                <w:rFonts w:eastAsia="Times New Roman"/>
                <w:sz w:val="26"/>
                <w:szCs w:val="26"/>
              </w:rPr>
              <w:t>Số:</w:t>
            </w:r>
            <w:r w:rsidR="00DC76CF">
              <w:rPr>
                <w:rFonts w:eastAsia="Times New Roman"/>
                <w:sz w:val="26"/>
                <w:szCs w:val="26"/>
              </w:rPr>
              <w:t xml:space="preserve">   </w:t>
            </w:r>
            <w:r w:rsidR="00CC1ABF">
              <w:rPr>
                <w:rFonts w:eastAsia="Times New Roman"/>
                <w:sz w:val="26"/>
                <w:szCs w:val="26"/>
              </w:rPr>
              <w:t>1646</w:t>
            </w:r>
            <w:r w:rsidR="003746DA" w:rsidRPr="001158C6">
              <w:rPr>
                <w:rFonts w:eastAsia="Times New Roman"/>
                <w:sz w:val="26"/>
                <w:szCs w:val="26"/>
              </w:rPr>
              <w:t>/STP-</w:t>
            </w:r>
            <w:r w:rsidR="00E35F4F">
              <w:rPr>
                <w:rFonts w:eastAsia="Times New Roman"/>
                <w:sz w:val="26"/>
                <w:szCs w:val="26"/>
              </w:rPr>
              <w:t>TTr</w:t>
            </w:r>
            <w:bookmarkStart w:id="0" w:name="_GoBack"/>
            <w:bookmarkEnd w:id="0"/>
          </w:p>
          <w:p w14:paraId="3A46109A" w14:textId="5E2249E7" w:rsidR="007F32B5" w:rsidRPr="004A363B" w:rsidRDefault="003746DA" w:rsidP="00C71384">
            <w:pPr>
              <w:spacing w:after="0" w:line="240" w:lineRule="auto"/>
              <w:jc w:val="center"/>
              <w:rPr>
                <w:sz w:val="24"/>
                <w:szCs w:val="24"/>
              </w:rPr>
            </w:pPr>
            <w:r w:rsidRPr="004A363B">
              <w:rPr>
                <w:rFonts w:eastAsia="Times New Roman"/>
                <w:sz w:val="24"/>
                <w:szCs w:val="24"/>
              </w:rPr>
              <w:t xml:space="preserve">V/v </w:t>
            </w:r>
            <w:r w:rsidR="00C71384">
              <w:rPr>
                <w:rFonts w:eastAsia="Times New Roman"/>
                <w:sz w:val="24"/>
                <w:szCs w:val="24"/>
              </w:rPr>
              <w:t xml:space="preserve">một số nội dung liên quan </w:t>
            </w:r>
            <w:r w:rsidR="00DC76CF">
              <w:rPr>
                <w:rFonts w:eastAsia="Times New Roman"/>
                <w:sz w:val="24"/>
                <w:szCs w:val="24"/>
              </w:rPr>
              <w:t>vụ việc xử phạt vi phạm hành chính đối với công ty TNHH Song Sinh</w:t>
            </w:r>
            <w:r w:rsidR="00C71384">
              <w:rPr>
                <w:rFonts w:eastAsia="Times New Roman"/>
                <w:sz w:val="24"/>
                <w:szCs w:val="24"/>
              </w:rPr>
              <w:t xml:space="preserve"> </w:t>
            </w:r>
          </w:p>
          <w:p w14:paraId="2CF7A6DC" w14:textId="77777777" w:rsidR="003746DA" w:rsidRPr="00E715BD" w:rsidRDefault="00442332" w:rsidP="00CE3DA4">
            <w:pPr>
              <w:spacing w:after="0" w:line="240" w:lineRule="auto"/>
              <w:jc w:val="center"/>
              <w:rPr>
                <w:rFonts w:eastAsia="Times New Roman"/>
                <w:sz w:val="22"/>
              </w:rPr>
            </w:pPr>
            <w:r>
              <w:rPr>
                <w:sz w:val="22"/>
              </w:rPr>
              <w:t xml:space="preserve"> </w:t>
            </w:r>
          </w:p>
        </w:tc>
        <w:tc>
          <w:tcPr>
            <w:tcW w:w="5811" w:type="dxa"/>
          </w:tcPr>
          <w:p w14:paraId="33C90144" w14:textId="77777777" w:rsidR="003746DA" w:rsidRPr="00F60D40" w:rsidRDefault="003746DA" w:rsidP="00AB1F2F">
            <w:pPr>
              <w:spacing w:after="0" w:line="240" w:lineRule="auto"/>
              <w:rPr>
                <w:rFonts w:eastAsia="Times New Roman"/>
                <w:b/>
                <w:bCs/>
                <w:sz w:val="26"/>
                <w:szCs w:val="26"/>
              </w:rPr>
            </w:pPr>
            <w:r w:rsidRPr="00F60D40">
              <w:rPr>
                <w:rFonts w:eastAsia="Times New Roman"/>
                <w:b/>
                <w:bCs/>
                <w:sz w:val="26"/>
                <w:szCs w:val="26"/>
              </w:rPr>
              <w:t>CỘNG HÒA XÃ HỘI CHỦ NGHĨA VIỆT NAM</w:t>
            </w:r>
          </w:p>
          <w:p w14:paraId="41426226" w14:textId="77777777" w:rsidR="003746DA" w:rsidRPr="004962E2" w:rsidRDefault="003746DA" w:rsidP="007F32B5">
            <w:pPr>
              <w:spacing w:after="0" w:line="240" w:lineRule="auto"/>
              <w:jc w:val="center"/>
              <w:rPr>
                <w:rFonts w:eastAsia="Times New Roman"/>
                <w:b/>
                <w:bCs/>
                <w:szCs w:val="28"/>
              </w:rPr>
            </w:pPr>
            <w:r w:rsidRPr="004962E2">
              <w:rPr>
                <w:rFonts w:eastAsia="Times New Roman"/>
                <w:b/>
                <w:bCs/>
                <w:szCs w:val="28"/>
              </w:rPr>
              <w:t>Độc lập – Tự do – Hạnh phúc</w:t>
            </w:r>
          </w:p>
          <w:p w14:paraId="2ABC1A7B" w14:textId="73AD4159" w:rsidR="003746DA" w:rsidRPr="00AB1F2F" w:rsidRDefault="00846611" w:rsidP="00B23653">
            <w:pPr>
              <w:spacing w:before="120" w:after="0" w:line="240" w:lineRule="auto"/>
              <w:jc w:val="center"/>
              <w:rPr>
                <w:rFonts w:eastAsia="Times New Roman"/>
                <w:b/>
                <w:bCs/>
                <w:sz w:val="26"/>
                <w:szCs w:val="26"/>
              </w:rPr>
            </w:pPr>
            <w:r>
              <w:rPr>
                <w:rFonts w:eastAsia="Times New Roman"/>
                <w:noProof/>
                <w:sz w:val="24"/>
                <w:szCs w:val="24"/>
              </w:rPr>
              <mc:AlternateContent>
                <mc:Choice Requires="wps">
                  <w:drawing>
                    <wp:anchor distT="4294967295" distB="4294967295" distL="114300" distR="114300" simplePos="0" relativeHeight="251660288" behindDoc="0" locked="0" layoutInCell="1" allowOverlap="1" wp14:anchorId="562AFD6E" wp14:editId="5C2DCC53">
                      <wp:simplePos x="0" y="0"/>
                      <wp:positionH relativeFrom="column">
                        <wp:posOffset>680085</wp:posOffset>
                      </wp:positionH>
                      <wp:positionV relativeFrom="paragraph">
                        <wp:posOffset>53340</wp:posOffset>
                      </wp:positionV>
                      <wp:extent cx="2171700" cy="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DF85"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2pt" to="22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e8q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"/>
                  </w:pict>
                </mc:Fallback>
              </mc:AlternateContent>
            </w:r>
            <w:r w:rsidR="003746DA" w:rsidRPr="00AB1F2F">
              <w:rPr>
                <w:rFonts w:eastAsia="Times New Roman"/>
                <w:bCs/>
                <w:i/>
                <w:sz w:val="26"/>
                <w:szCs w:val="26"/>
              </w:rPr>
              <w:t>L</w:t>
            </w:r>
            <w:r w:rsidR="00CC1ABF">
              <w:rPr>
                <w:rFonts w:eastAsia="Times New Roman"/>
                <w:i/>
                <w:iCs/>
                <w:sz w:val="26"/>
                <w:szCs w:val="26"/>
              </w:rPr>
              <w:t>âm Đồng, ngày</w:t>
            </w:r>
            <w:r w:rsidR="00DC76CF">
              <w:rPr>
                <w:rFonts w:eastAsia="Times New Roman"/>
                <w:i/>
                <w:iCs/>
                <w:sz w:val="26"/>
                <w:szCs w:val="26"/>
              </w:rPr>
              <w:t xml:space="preserve">  </w:t>
            </w:r>
            <w:r w:rsidR="00CC1ABF">
              <w:rPr>
                <w:rFonts w:eastAsia="Times New Roman"/>
                <w:i/>
                <w:iCs/>
                <w:sz w:val="26"/>
                <w:szCs w:val="26"/>
              </w:rPr>
              <w:t>27</w:t>
            </w:r>
            <w:r w:rsidR="00DC76CF">
              <w:rPr>
                <w:rFonts w:eastAsia="Times New Roman"/>
                <w:i/>
                <w:iCs/>
                <w:sz w:val="26"/>
                <w:szCs w:val="26"/>
              </w:rPr>
              <w:t xml:space="preserve">  </w:t>
            </w:r>
            <w:r w:rsidR="00AF68C8">
              <w:rPr>
                <w:rFonts w:eastAsia="Times New Roman"/>
                <w:i/>
                <w:iCs/>
                <w:sz w:val="26"/>
                <w:szCs w:val="26"/>
              </w:rPr>
              <w:t xml:space="preserve"> </w:t>
            </w:r>
            <w:r w:rsidR="00C71384">
              <w:rPr>
                <w:rFonts w:eastAsia="Times New Roman"/>
                <w:i/>
                <w:iCs/>
                <w:sz w:val="26"/>
                <w:szCs w:val="26"/>
              </w:rPr>
              <w:t xml:space="preserve">  </w:t>
            </w:r>
            <w:r w:rsidR="003746DA" w:rsidRPr="00AB1F2F">
              <w:rPr>
                <w:rFonts w:eastAsia="Times New Roman"/>
                <w:i/>
                <w:iCs/>
                <w:sz w:val="26"/>
                <w:szCs w:val="26"/>
              </w:rPr>
              <w:t>tháng</w:t>
            </w:r>
            <w:r w:rsidR="004E2643">
              <w:rPr>
                <w:rFonts w:eastAsia="Times New Roman"/>
                <w:i/>
                <w:iCs/>
                <w:sz w:val="26"/>
                <w:szCs w:val="26"/>
              </w:rPr>
              <w:t xml:space="preserve"> </w:t>
            </w:r>
            <w:r w:rsidR="003746DA" w:rsidRPr="00AB1F2F">
              <w:rPr>
                <w:rFonts w:eastAsia="Times New Roman"/>
                <w:i/>
                <w:iCs/>
                <w:sz w:val="26"/>
                <w:szCs w:val="26"/>
              </w:rPr>
              <w:t xml:space="preserve"> </w:t>
            </w:r>
            <w:r w:rsidR="00C71384">
              <w:rPr>
                <w:rFonts w:eastAsia="Times New Roman"/>
                <w:i/>
                <w:iCs/>
                <w:sz w:val="26"/>
                <w:szCs w:val="26"/>
              </w:rPr>
              <w:t>10</w:t>
            </w:r>
            <w:r w:rsidR="006833F8">
              <w:rPr>
                <w:rFonts w:eastAsia="Times New Roman"/>
                <w:i/>
                <w:iCs/>
                <w:sz w:val="26"/>
                <w:szCs w:val="26"/>
              </w:rPr>
              <w:t xml:space="preserve"> </w:t>
            </w:r>
            <w:r w:rsidR="00012FD9">
              <w:rPr>
                <w:rFonts w:eastAsia="Times New Roman"/>
                <w:i/>
                <w:iCs/>
                <w:sz w:val="26"/>
                <w:szCs w:val="26"/>
              </w:rPr>
              <w:t xml:space="preserve"> </w:t>
            </w:r>
            <w:r w:rsidR="003746DA" w:rsidRPr="00AB1F2F">
              <w:rPr>
                <w:rFonts w:eastAsia="Times New Roman"/>
                <w:i/>
                <w:iCs/>
                <w:sz w:val="26"/>
                <w:szCs w:val="26"/>
              </w:rPr>
              <w:t>năm 20</w:t>
            </w:r>
            <w:r w:rsidR="00012FD9">
              <w:rPr>
                <w:rFonts w:eastAsia="Times New Roman"/>
                <w:i/>
                <w:iCs/>
                <w:sz w:val="26"/>
                <w:szCs w:val="26"/>
              </w:rPr>
              <w:t>2</w:t>
            </w:r>
            <w:r w:rsidR="00461C7E">
              <w:rPr>
                <w:rFonts w:eastAsia="Times New Roman"/>
                <w:i/>
                <w:iCs/>
                <w:sz w:val="26"/>
                <w:szCs w:val="26"/>
              </w:rPr>
              <w:t>3</w:t>
            </w:r>
          </w:p>
          <w:p w14:paraId="0D50AFE3" w14:textId="77777777" w:rsidR="003746DA" w:rsidRPr="004962E2" w:rsidRDefault="003746DA" w:rsidP="003734E1">
            <w:pPr>
              <w:spacing w:after="120" w:line="240" w:lineRule="auto"/>
              <w:rPr>
                <w:rFonts w:eastAsia="Times New Roman"/>
                <w:b/>
                <w:bCs/>
                <w:sz w:val="27"/>
                <w:szCs w:val="27"/>
              </w:rPr>
            </w:pPr>
          </w:p>
        </w:tc>
      </w:tr>
    </w:tbl>
    <w:p w14:paraId="00D7319D" w14:textId="77777777" w:rsidR="003746DA" w:rsidRDefault="003746DA" w:rsidP="003746DA">
      <w:pPr>
        <w:spacing w:after="0" w:line="240" w:lineRule="auto"/>
        <w:ind w:left="1440" w:firstLine="720"/>
        <w:rPr>
          <w:szCs w:val="28"/>
        </w:rPr>
      </w:pPr>
    </w:p>
    <w:p w14:paraId="5A971380" w14:textId="1E369D69" w:rsidR="003746DA" w:rsidRDefault="003746DA" w:rsidP="003D1AC0">
      <w:pPr>
        <w:spacing w:after="0" w:line="240" w:lineRule="auto"/>
        <w:jc w:val="center"/>
        <w:rPr>
          <w:szCs w:val="28"/>
        </w:rPr>
      </w:pPr>
      <w:r>
        <w:rPr>
          <w:szCs w:val="28"/>
        </w:rPr>
        <w:t>K</w:t>
      </w:r>
      <w:r w:rsidRPr="00BC216A">
        <w:rPr>
          <w:szCs w:val="28"/>
        </w:rPr>
        <w:t xml:space="preserve">ính gửi: </w:t>
      </w:r>
      <w:r w:rsidR="003D1AC0">
        <w:rPr>
          <w:szCs w:val="28"/>
        </w:rPr>
        <w:t>Sở Công thương</w:t>
      </w:r>
      <w:r w:rsidR="00C71384">
        <w:rPr>
          <w:szCs w:val="28"/>
        </w:rPr>
        <w:t xml:space="preserve"> tỉnh Lâm Đồng</w:t>
      </w:r>
    </w:p>
    <w:p w14:paraId="70D3E991" w14:textId="77777777" w:rsidR="00AB1F2F" w:rsidRDefault="00AB1F2F" w:rsidP="00AB1F2F">
      <w:pPr>
        <w:spacing w:after="0" w:line="240" w:lineRule="auto"/>
        <w:ind w:left="1440"/>
        <w:rPr>
          <w:szCs w:val="28"/>
        </w:rPr>
      </w:pPr>
    </w:p>
    <w:p w14:paraId="0D8E6BAF" w14:textId="1C87B436" w:rsidR="00C71384" w:rsidRDefault="00461C7E" w:rsidP="00C71384">
      <w:pPr>
        <w:spacing w:before="120" w:after="120" w:line="360" w:lineRule="exact"/>
        <w:ind w:firstLine="567"/>
        <w:jc w:val="both"/>
        <w:rPr>
          <w:color w:val="0D0D0D" w:themeColor="text1" w:themeTint="F2"/>
        </w:rPr>
      </w:pPr>
      <w:r w:rsidRPr="0080305E">
        <w:rPr>
          <w:szCs w:val="28"/>
        </w:rPr>
        <w:t xml:space="preserve">Thực hiện </w:t>
      </w:r>
      <w:r w:rsidR="00C71384">
        <w:rPr>
          <w:szCs w:val="28"/>
        </w:rPr>
        <w:t xml:space="preserve">chỉ đạo tại </w:t>
      </w:r>
      <w:r w:rsidRPr="0080305E">
        <w:rPr>
          <w:szCs w:val="28"/>
        </w:rPr>
        <w:t xml:space="preserve">Văn bản số </w:t>
      </w:r>
      <w:r w:rsidR="00DC76CF">
        <w:t>9170</w:t>
      </w:r>
      <w:r w:rsidR="00C71384">
        <w:t xml:space="preserve">/UBND-MT ngày </w:t>
      </w:r>
      <w:r w:rsidR="00DC76CF">
        <w:t>20</w:t>
      </w:r>
      <w:r w:rsidR="00C71384">
        <w:t>/10/2023 của UBND tỉnh Lâm Đồng về xử phạt vi phạm hành chính</w:t>
      </w:r>
      <w:r w:rsidR="00C71384" w:rsidRPr="0080305E">
        <w:rPr>
          <w:szCs w:val="28"/>
        </w:rPr>
        <w:t xml:space="preserve"> </w:t>
      </w:r>
      <w:r w:rsidR="00DC76CF">
        <w:rPr>
          <w:szCs w:val="28"/>
        </w:rPr>
        <w:t xml:space="preserve">trong lĩnh vực an toàn đập thủy điện đối với công ty TNHH Song Sinh. </w:t>
      </w:r>
    </w:p>
    <w:p w14:paraId="06A95A15" w14:textId="0663905B" w:rsidR="003D1AC0" w:rsidRPr="0080305E" w:rsidRDefault="004E2643" w:rsidP="001A1E34">
      <w:pPr>
        <w:spacing w:before="60" w:after="60" w:line="264" w:lineRule="auto"/>
        <w:ind w:right="-85" w:firstLine="567"/>
        <w:jc w:val="both"/>
        <w:rPr>
          <w:szCs w:val="28"/>
        </w:rPr>
      </w:pPr>
      <w:r w:rsidRPr="0080305E">
        <w:rPr>
          <w:szCs w:val="28"/>
        </w:rPr>
        <w:t xml:space="preserve">Ngày </w:t>
      </w:r>
      <w:r w:rsidR="00DC76CF">
        <w:rPr>
          <w:szCs w:val="28"/>
        </w:rPr>
        <w:t>26</w:t>
      </w:r>
      <w:r w:rsidRPr="0080305E">
        <w:rPr>
          <w:szCs w:val="28"/>
        </w:rPr>
        <w:t>/</w:t>
      </w:r>
      <w:r w:rsidR="00C71384">
        <w:rPr>
          <w:szCs w:val="28"/>
        </w:rPr>
        <w:t>10</w:t>
      </w:r>
      <w:r w:rsidRPr="0080305E">
        <w:rPr>
          <w:szCs w:val="28"/>
        </w:rPr>
        <w:t xml:space="preserve">/2023, </w:t>
      </w:r>
      <w:r w:rsidR="003D1AC0" w:rsidRPr="0080305E">
        <w:rPr>
          <w:szCs w:val="28"/>
        </w:rPr>
        <w:t xml:space="preserve">Sở Tư pháp </w:t>
      </w:r>
      <w:r w:rsidR="00F5122A">
        <w:rPr>
          <w:szCs w:val="28"/>
        </w:rPr>
        <w:t xml:space="preserve">đã </w:t>
      </w:r>
      <w:r w:rsidR="00DC76CF">
        <w:rPr>
          <w:szCs w:val="28"/>
        </w:rPr>
        <w:t xml:space="preserve">tham dự cuộc họp theo </w:t>
      </w:r>
      <w:r w:rsidRPr="0080305E">
        <w:rPr>
          <w:szCs w:val="28"/>
        </w:rPr>
        <w:t>G</w:t>
      </w:r>
      <w:r w:rsidR="003D1AC0" w:rsidRPr="0080305E">
        <w:rPr>
          <w:szCs w:val="28"/>
        </w:rPr>
        <w:t xml:space="preserve">iấy mời số </w:t>
      </w:r>
      <w:r w:rsidR="00C71384">
        <w:rPr>
          <w:szCs w:val="28"/>
        </w:rPr>
        <w:t>2</w:t>
      </w:r>
      <w:r w:rsidR="00DC76CF">
        <w:rPr>
          <w:szCs w:val="28"/>
        </w:rPr>
        <w:t>638</w:t>
      </w:r>
      <w:r w:rsidR="003D1AC0" w:rsidRPr="0080305E">
        <w:rPr>
          <w:szCs w:val="28"/>
        </w:rPr>
        <w:t xml:space="preserve">/GM-SCT </w:t>
      </w:r>
      <w:r w:rsidR="00DC76CF">
        <w:rPr>
          <w:szCs w:val="28"/>
        </w:rPr>
        <w:t xml:space="preserve"> ngày 25/10/2023 </w:t>
      </w:r>
      <w:r w:rsidR="003D1AC0" w:rsidRPr="0080305E">
        <w:rPr>
          <w:szCs w:val="28"/>
        </w:rPr>
        <w:t xml:space="preserve">của Sở Công thương về việc </w:t>
      </w:r>
      <w:r w:rsidR="00DC76CF">
        <w:rPr>
          <w:szCs w:val="28"/>
        </w:rPr>
        <w:t>xem xét, tham mưu UBND tỉnh Lâm Đồng xử lý hồ sơ vi phạm hành chính trong lĩnh vực an toàn đập thủy điện.</w:t>
      </w:r>
    </w:p>
    <w:p w14:paraId="2FC3A364" w14:textId="52AC4316" w:rsidR="0071526D" w:rsidRDefault="004D25E0" w:rsidP="0080305E">
      <w:pPr>
        <w:spacing w:before="60" w:after="60" w:line="264" w:lineRule="auto"/>
        <w:ind w:firstLine="567"/>
        <w:jc w:val="both"/>
        <w:rPr>
          <w:szCs w:val="28"/>
        </w:rPr>
      </w:pPr>
      <w:r w:rsidRPr="0080305E">
        <w:rPr>
          <w:szCs w:val="28"/>
        </w:rPr>
        <w:t xml:space="preserve">Căn cứ </w:t>
      </w:r>
      <w:r w:rsidR="007A4DDA" w:rsidRPr="0080305E">
        <w:rPr>
          <w:szCs w:val="28"/>
        </w:rPr>
        <w:t>các quy định của pháp luật</w:t>
      </w:r>
      <w:r w:rsidR="003D1AC0" w:rsidRPr="0080305E">
        <w:rPr>
          <w:szCs w:val="28"/>
        </w:rPr>
        <w:t xml:space="preserve"> về xử lý vi phạm hành chính</w:t>
      </w:r>
      <w:r w:rsidR="00F5122A">
        <w:rPr>
          <w:szCs w:val="28"/>
        </w:rPr>
        <w:t>;</w:t>
      </w:r>
      <w:r w:rsidR="00DC76CF">
        <w:rPr>
          <w:szCs w:val="28"/>
        </w:rPr>
        <w:t xml:space="preserve"> </w:t>
      </w:r>
      <w:r w:rsidR="000A7B12">
        <w:rPr>
          <w:szCs w:val="28"/>
        </w:rPr>
        <w:t xml:space="preserve">căn cứ </w:t>
      </w:r>
      <w:r w:rsidR="00DC76CF">
        <w:rPr>
          <w:szCs w:val="28"/>
        </w:rPr>
        <w:t>phạm vi chức năng, nhiệm vụ của Sở Tư pháp</w:t>
      </w:r>
      <w:r w:rsidR="003D1AC0" w:rsidRPr="0080305E">
        <w:rPr>
          <w:szCs w:val="28"/>
        </w:rPr>
        <w:t xml:space="preserve"> và </w:t>
      </w:r>
      <w:r w:rsidR="001D0E9E" w:rsidRPr="0080305E">
        <w:rPr>
          <w:szCs w:val="28"/>
        </w:rPr>
        <w:t xml:space="preserve">thông tin, </w:t>
      </w:r>
      <w:r w:rsidR="003D1AC0" w:rsidRPr="0080305E">
        <w:rPr>
          <w:szCs w:val="28"/>
        </w:rPr>
        <w:t>tài liệu do Sở Công thương</w:t>
      </w:r>
      <w:r w:rsidR="000A7B12">
        <w:rPr>
          <w:szCs w:val="28"/>
        </w:rPr>
        <w:t xml:space="preserve">, UBND huyện Lâm Hà, UBND xã Tân Thanh </w:t>
      </w:r>
      <w:r w:rsidR="003D1AC0" w:rsidRPr="0080305E">
        <w:rPr>
          <w:szCs w:val="28"/>
        </w:rPr>
        <w:t xml:space="preserve">cung cấp, </w:t>
      </w:r>
      <w:r w:rsidR="00B06D6F" w:rsidRPr="0080305E">
        <w:rPr>
          <w:szCs w:val="28"/>
        </w:rPr>
        <w:t xml:space="preserve">Sở Tư pháp </w:t>
      </w:r>
      <w:r w:rsidR="003D1AC0" w:rsidRPr="0080305E">
        <w:rPr>
          <w:szCs w:val="28"/>
        </w:rPr>
        <w:t>có ý kiến</w:t>
      </w:r>
      <w:r w:rsidR="003B4C49" w:rsidRPr="0080305E">
        <w:rPr>
          <w:szCs w:val="28"/>
        </w:rPr>
        <w:t xml:space="preserve"> </w:t>
      </w:r>
      <w:r w:rsidR="0071526D" w:rsidRPr="0080305E">
        <w:rPr>
          <w:szCs w:val="28"/>
        </w:rPr>
        <w:t>như sau:</w:t>
      </w:r>
    </w:p>
    <w:p w14:paraId="1E70DA1F" w14:textId="75B03921" w:rsidR="002B6ABE" w:rsidRPr="0031059B" w:rsidRDefault="00EB2CB6" w:rsidP="001A1E34">
      <w:pPr>
        <w:spacing w:before="120" w:after="120" w:line="340" w:lineRule="exact"/>
        <w:ind w:firstLine="567"/>
        <w:jc w:val="both"/>
        <w:rPr>
          <w:b/>
          <w:color w:val="0D0D0D" w:themeColor="text1" w:themeTint="F2"/>
          <w:szCs w:val="28"/>
        </w:rPr>
      </w:pPr>
      <w:r>
        <w:rPr>
          <w:b/>
          <w:color w:val="0D0D0D" w:themeColor="text1" w:themeTint="F2"/>
          <w:szCs w:val="28"/>
        </w:rPr>
        <w:t>1</w:t>
      </w:r>
      <w:r w:rsidR="00995ACD">
        <w:rPr>
          <w:b/>
          <w:color w:val="0D0D0D" w:themeColor="text1" w:themeTint="F2"/>
          <w:szCs w:val="28"/>
        </w:rPr>
        <w:t>.</w:t>
      </w:r>
      <w:r w:rsidR="002B6ABE" w:rsidRPr="0031059B">
        <w:rPr>
          <w:b/>
          <w:color w:val="0D0D0D" w:themeColor="text1" w:themeTint="F2"/>
          <w:szCs w:val="28"/>
        </w:rPr>
        <w:t xml:space="preserve"> Trình tự thủ tục lập Biên bản vi phạm hành chính và Biên bản xác minh tình tiết vụ vi phạm hành chính</w:t>
      </w:r>
    </w:p>
    <w:p w14:paraId="1FB3DE40" w14:textId="478EEC1D" w:rsidR="002B6ABE" w:rsidRPr="00EB2CB6" w:rsidRDefault="002B6ABE" w:rsidP="001A1E34">
      <w:pPr>
        <w:spacing w:before="120" w:after="120" w:line="340" w:lineRule="exact"/>
        <w:ind w:firstLine="567"/>
        <w:jc w:val="both"/>
        <w:rPr>
          <w:iCs/>
          <w:szCs w:val="28"/>
          <w:shd w:val="clear" w:color="auto" w:fill="FFFFFF"/>
        </w:rPr>
      </w:pPr>
      <w:r w:rsidRPr="00EB2CB6">
        <w:rPr>
          <w:szCs w:val="28"/>
        </w:rPr>
        <w:t xml:space="preserve">Công ty TNHH Song Sinh bị lập Biên bản vi phạm hành chính số 65/BB-VPHC ngày 18/9/2023 về hành vi hoạt động sai nội dung quy định của Giấy phép hoạt động trong phạm vi bảo vệ đập, hồ chứa thủy điện quy định tại điểm c khoản 4 Điều 16 </w:t>
      </w:r>
      <w:r w:rsidRPr="00EB2CB6">
        <w:rPr>
          <w:szCs w:val="28"/>
          <w:shd w:val="clear" w:color="auto" w:fill="FFFFFF"/>
        </w:rPr>
        <w:t xml:space="preserve">Nghị định số 134/2013/NĐ-CP ngày 17/10/2013 của Chính phủ </w:t>
      </w:r>
      <w:r w:rsidRPr="00EB2CB6">
        <w:rPr>
          <w:iCs/>
          <w:szCs w:val="28"/>
          <w:shd w:val="clear" w:color="auto" w:fill="FFFFFF"/>
        </w:rPr>
        <w:t>quy định về xử phạt vi phạm hành chính trong lĩnh vực điện lực, an toàn đập thủy điện, sử dụng năng lượng tiết kiệm và hiệu quả</w:t>
      </w:r>
      <w:r w:rsidRPr="00EB2CB6">
        <w:rPr>
          <w:szCs w:val="28"/>
          <w:shd w:val="clear" w:color="auto" w:fill="FFFFFF"/>
        </w:rPr>
        <w:t xml:space="preserve"> (đã được sửa đổi, bổ sung tại khoản 20 Điều 2 Nghị định số 17/2022/NĐ-CP ngày 31/01/2022 của Chính phủ </w:t>
      </w:r>
      <w:r w:rsidRPr="00EB2CB6">
        <w:rPr>
          <w:iCs/>
          <w:szCs w:val="28"/>
          <w:shd w:val="clear" w:color="auto" w:fill="FFFFFF"/>
        </w:rPr>
        <w:t>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00F5122A">
        <w:rPr>
          <w:iCs/>
          <w:szCs w:val="28"/>
          <w:shd w:val="clear" w:color="auto" w:fill="FFFFFF"/>
        </w:rPr>
        <w:t>)</w:t>
      </w:r>
      <w:r w:rsidRPr="00EB2CB6">
        <w:rPr>
          <w:iCs/>
          <w:szCs w:val="28"/>
          <w:shd w:val="clear" w:color="auto" w:fill="FFFFFF"/>
        </w:rPr>
        <w:t>.</w:t>
      </w:r>
    </w:p>
    <w:p w14:paraId="25E0A21E" w14:textId="51573B5D" w:rsidR="0040516C" w:rsidRDefault="0040516C" w:rsidP="001A1E34">
      <w:pPr>
        <w:spacing w:before="120" w:after="120" w:line="340" w:lineRule="exact"/>
        <w:ind w:firstLine="567"/>
        <w:jc w:val="both"/>
        <w:rPr>
          <w:iCs/>
          <w:color w:val="000000"/>
          <w:szCs w:val="28"/>
          <w:shd w:val="clear" w:color="auto" w:fill="FFFFFF"/>
        </w:rPr>
      </w:pPr>
      <w:r>
        <w:rPr>
          <w:iCs/>
          <w:color w:val="000000"/>
          <w:szCs w:val="28"/>
          <w:shd w:val="clear" w:color="auto" w:fill="FFFFFF"/>
        </w:rPr>
        <w:t xml:space="preserve">Do </w:t>
      </w:r>
      <w:r>
        <w:rPr>
          <w:szCs w:val="28"/>
        </w:rPr>
        <w:t>Biên bản vi phạm hành chính</w:t>
      </w:r>
      <w:r>
        <w:rPr>
          <w:iCs/>
          <w:color w:val="000000"/>
          <w:szCs w:val="28"/>
          <w:shd w:val="clear" w:color="auto" w:fill="FFFFFF"/>
        </w:rPr>
        <w:t xml:space="preserve"> có sai sót nên UBND xã Tân Thanh đã lập Biên bản xác minh tình tiết vụ việc vi phạm hành chính số 71/BB-XM ngày 16/10/2023. </w:t>
      </w:r>
    </w:p>
    <w:p w14:paraId="1A8D3ACD" w14:textId="23D9CBEA" w:rsidR="0040516C" w:rsidRPr="002B6ABE" w:rsidRDefault="0040516C" w:rsidP="001A1E34">
      <w:pPr>
        <w:spacing w:before="120" w:after="120" w:line="340" w:lineRule="exact"/>
        <w:ind w:firstLine="567"/>
        <w:jc w:val="both"/>
        <w:rPr>
          <w:color w:val="0D0D0D" w:themeColor="text1" w:themeTint="F2"/>
          <w:szCs w:val="28"/>
        </w:rPr>
      </w:pPr>
      <w:r>
        <w:rPr>
          <w:iCs/>
          <w:color w:val="000000"/>
          <w:szCs w:val="28"/>
          <w:shd w:val="clear" w:color="auto" w:fill="FFFFFF"/>
        </w:rPr>
        <w:t xml:space="preserve">Việc lập Biên bản vi phạm hành chính và Biên bản xác minh tình tiết vụ việc vi phạm hành chính </w:t>
      </w:r>
      <w:r w:rsidR="00F5122A">
        <w:rPr>
          <w:iCs/>
          <w:color w:val="000000"/>
          <w:szCs w:val="28"/>
          <w:shd w:val="clear" w:color="auto" w:fill="FFFFFF"/>
        </w:rPr>
        <w:t xml:space="preserve">đã </w:t>
      </w:r>
      <w:r>
        <w:rPr>
          <w:iCs/>
          <w:color w:val="000000"/>
          <w:szCs w:val="28"/>
          <w:shd w:val="clear" w:color="auto" w:fill="FFFFFF"/>
        </w:rPr>
        <w:t xml:space="preserve">được thực hiện theo quy định tại Điều 58, 59 Luật Xử lý </w:t>
      </w:r>
      <w:r>
        <w:rPr>
          <w:iCs/>
          <w:color w:val="000000"/>
          <w:szCs w:val="28"/>
          <w:shd w:val="clear" w:color="auto" w:fill="FFFFFF"/>
        </w:rPr>
        <w:lastRenderedPageBreak/>
        <w:t xml:space="preserve">vi phạm hành chính (được sửa đổi bổ sung tại khoản 29 Điều 1 Luật </w:t>
      </w:r>
      <w:r>
        <w:rPr>
          <w:bCs/>
          <w:szCs w:val="28"/>
        </w:rPr>
        <w:t>sửa đổi bổ sung một số điều của Luật Xử lý vi phạm hành chính 2020)</w:t>
      </w:r>
      <w:r>
        <w:rPr>
          <w:rStyle w:val="FootnoteReference"/>
          <w:bCs/>
          <w:szCs w:val="28"/>
        </w:rPr>
        <w:footnoteReference w:id="1"/>
      </w:r>
    </w:p>
    <w:p w14:paraId="55839FC5" w14:textId="12DA0069" w:rsidR="002B6ABE" w:rsidRPr="0031059B" w:rsidRDefault="00995ACD" w:rsidP="001A1E34">
      <w:pPr>
        <w:spacing w:before="120" w:after="120" w:line="340" w:lineRule="exact"/>
        <w:ind w:firstLine="567"/>
        <w:jc w:val="both"/>
        <w:rPr>
          <w:b/>
          <w:color w:val="0D0D0D" w:themeColor="text1" w:themeTint="F2"/>
          <w:szCs w:val="28"/>
        </w:rPr>
      </w:pPr>
      <w:r>
        <w:rPr>
          <w:b/>
          <w:color w:val="0D0D0D" w:themeColor="text1" w:themeTint="F2"/>
          <w:szCs w:val="28"/>
        </w:rPr>
        <w:t>2</w:t>
      </w:r>
      <w:r w:rsidR="002B6ABE" w:rsidRPr="0031059B">
        <w:rPr>
          <w:b/>
          <w:color w:val="0D0D0D" w:themeColor="text1" w:themeTint="F2"/>
          <w:szCs w:val="28"/>
        </w:rPr>
        <w:t>. Thời hạn ban hành Quyết định xử phạt vi phạm hành chính</w:t>
      </w:r>
    </w:p>
    <w:p w14:paraId="57F2DBD2" w14:textId="1B705632" w:rsidR="0031059B" w:rsidRDefault="001A1E34" w:rsidP="001A1E34">
      <w:pPr>
        <w:spacing w:before="120" w:after="120" w:line="340" w:lineRule="exact"/>
        <w:ind w:firstLine="567"/>
        <w:jc w:val="both"/>
        <w:rPr>
          <w:color w:val="0D0D0D" w:themeColor="text1" w:themeTint="F2"/>
          <w:szCs w:val="28"/>
        </w:rPr>
      </w:pPr>
      <w:r w:rsidRPr="001A1E34">
        <w:rPr>
          <w:color w:val="0D0D0D" w:themeColor="text1" w:themeTint="F2"/>
          <w:szCs w:val="28"/>
        </w:rPr>
        <w:t xml:space="preserve">Điều </w:t>
      </w:r>
      <w:r w:rsidR="0031059B">
        <w:rPr>
          <w:color w:val="0D0D0D" w:themeColor="text1" w:themeTint="F2"/>
          <w:szCs w:val="28"/>
        </w:rPr>
        <w:t>66</w:t>
      </w:r>
      <w:r w:rsidRPr="001A1E34">
        <w:rPr>
          <w:color w:val="0D0D0D" w:themeColor="text1" w:themeTint="F2"/>
          <w:szCs w:val="28"/>
        </w:rPr>
        <w:t xml:space="preserve"> Luật Xử lý vi phạ</w:t>
      </w:r>
      <w:r w:rsidR="0031059B">
        <w:rPr>
          <w:color w:val="0D0D0D" w:themeColor="text1" w:themeTint="F2"/>
          <w:szCs w:val="28"/>
        </w:rPr>
        <w:t xml:space="preserve">m hành chính </w:t>
      </w:r>
      <w:r w:rsidR="0031059B">
        <w:rPr>
          <w:iCs/>
          <w:color w:val="000000"/>
          <w:szCs w:val="28"/>
          <w:shd w:val="clear" w:color="auto" w:fill="FFFFFF"/>
        </w:rPr>
        <w:t xml:space="preserve">(được sửa đổi bổ sung tại khoản 34 Điều 1 Luật </w:t>
      </w:r>
      <w:r w:rsidR="0031059B">
        <w:rPr>
          <w:bCs/>
          <w:szCs w:val="28"/>
        </w:rPr>
        <w:t>sửa đổi bổ sung một số điều của Luật Xử lý vi phạm hành chính 2020)</w:t>
      </w:r>
      <w:r w:rsidRPr="001A1E34">
        <w:rPr>
          <w:color w:val="0D0D0D" w:themeColor="text1" w:themeTint="F2"/>
          <w:szCs w:val="28"/>
        </w:rPr>
        <w:t xml:space="preserve"> quy định</w:t>
      </w:r>
      <w:r w:rsidR="0031059B">
        <w:rPr>
          <w:color w:val="0D0D0D" w:themeColor="text1" w:themeTint="F2"/>
          <w:szCs w:val="28"/>
        </w:rPr>
        <w:t xml:space="preserve"> về thời hạn ban hành quyết định xử phạt vi phạm hành chính như sau:</w:t>
      </w:r>
    </w:p>
    <w:p w14:paraId="40CF192C" w14:textId="77777777" w:rsidR="0031059B" w:rsidRPr="0031059B" w:rsidRDefault="0031059B" w:rsidP="0031059B">
      <w:pPr>
        <w:spacing w:before="60" w:after="60" w:line="264" w:lineRule="auto"/>
        <w:jc w:val="both"/>
        <w:rPr>
          <w:i/>
          <w:sz w:val="26"/>
          <w:szCs w:val="26"/>
        </w:rPr>
      </w:pPr>
      <w:r w:rsidRPr="0031059B">
        <w:rPr>
          <w:b/>
          <w:bCs/>
          <w:i/>
          <w:sz w:val="26"/>
          <w:szCs w:val="26"/>
          <w:lang w:val="vi-VN"/>
        </w:rPr>
        <w:t>“</w:t>
      </w:r>
      <w:r w:rsidRPr="0031059B">
        <w:rPr>
          <w:bCs/>
          <w:i/>
          <w:sz w:val="26"/>
          <w:szCs w:val="26"/>
          <w:lang w:val="vi-VN"/>
        </w:rPr>
        <w:t>Điều 66. Thời hạn ra quyết định xử phạt vi phạm hành chính</w:t>
      </w:r>
    </w:p>
    <w:p w14:paraId="64057D4E" w14:textId="77777777" w:rsidR="0031059B" w:rsidRPr="0031059B" w:rsidRDefault="0031059B" w:rsidP="0031059B">
      <w:pPr>
        <w:spacing w:before="60" w:after="60" w:line="264" w:lineRule="auto"/>
        <w:jc w:val="both"/>
        <w:rPr>
          <w:i/>
          <w:sz w:val="26"/>
          <w:szCs w:val="26"/>
        </w:rPr>
      </w:pPr>
      <w:r w:rsidRPr="0031059B">
        <w:rPr>
          <w:i/>
          <w:sz w:val="26"/>
          <w:szCs w:val="26"/>
          <w:lang w:val="vi-VN"/>
        </w:rPr>
        <w:t>1. Thời hạn ra quyết định xử phạt vi phạm hành chính được quy định như sau:</w:t>
      </w:r>
    </w:p>
    <w:p w14:paraId="41A50EC0" w14:textId="77777777" w:rsidR="0031059B" w:rsidRPr="0031059B" w:rsidRDefault="0031059B" w:rsidP="0031059B">
      <w:pPr>
        <w:spacing w:before="60" w:after="60" w:line="264" w:lineRule="auto"/>
        <w:jc w:val="both"/>
        <w:rPr>
          <w:i/>
          <w:sz w:val="26"/>
          <w:szCs w:val="26"/>
        </w:rPr>
      </w:pPr>
      <w:r w:rsidRPr="0031059B">
        <w:rPr>
          <w:i/>
          <w:sz w:val="26"/>
          <w:szCs w:val="26"/>
          <w:lang w:val="vi-VN"/>
        </w:rPr>
        <w:t>a) Đối với vụ việc không thuộc trường hợp quy định tại điểm b và điểm c khoản này,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quy định tại khoản 3 Điều 63 của Luật này;</w:t>
      </w:r>
    </w:p>
    <w:p w14:paraId="7433A76D" w14:textId="77777777" w:rsidR="0031059B" w:rsidRPr="0031059B" w:rsidRDefault="0031059B" w:rsidP="0031059B">
      <w:pPr>
        <w:spacing w:before="60" w:after="60" w:line="264" w:lineRule="auto"/>
        <w:jc w:val="both"/>
        <w:rPr>
          <w:i/>
          <w:sz w:val="26"/>
          <w:szCs w:val="26"/>
        </w:rPr>
      </w:pPr>
      <w:r w:rsidRPr="0031059B">
        <w:rPr>
          <w:i/>
          <w:sz w:val="26"/>
          <w:szCs w:val="26"/>
          <w:lang w:val="vi-VN"/>
        </w:rPr>
        <w:t>b) Đối với vụ việc mà cá nhân, tổ chức có yêu cầu giải trình hoặc phải xác minh các tình tiết có liên quan quy định tại Điều 59 của Luật này th</w:t>
      </w:r>
      <w:r w:rsidRPr="0031059B">
        <w:rPr>
          <w:i/>
          <w:sz w:val="26"/>
          <w:szCs w:val="26"/>
        </w:rPr>
        <w:t xml:space="preserve">ì </w:t>
      </w:r>
      <w:r w:rsidRPr="0031059B">
        <w:rPr>
          <w:i/>
          <w:sz w:val="26"/>
          <w:szCs w:val="26"/>
          <w:lang w:val="vi-VN"/>
        </w:rPr>
        <w:t>thời hạn ra quyết định xử phạt là 01 tháng, kể từ ngày lập biên bản vi phạm hành chính;</w:t>
      </w:r>
    </w:p>
    <w:p w14:paraId="7CAAEBF7" w14:textId="77777777" w:rsidR="0031059B" w:rsidRPr="0031059B" w:rsidRDefault="0031059B" w:rsidP="0031059B">
      <w:pPr>
        <w:spacing w:before="60" w:after="60" w:line="264" w:lineRule="auto"/>
        <w:jc w:val="both"/>
        <w:rPr>
          <w:i/>
          <w:sz w:val="26"/>
          <w:szCs w:val="26"/>
        </w:rPr>
      </w:pPr>
      <w:r w:rsidRPr="0031059B">
        <w:rPr>
          <w:i/>
          <w:sz w:val="26"/>
          <w:szCs w:val="26"/>
          <w:lang w:val="vi-VN"/>
        </w:rPr>
        <w:t>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w:t>
      </w:r>
    </w:p>
    <w:p w14:paraId="442B6E2C" w14:textId="77777777" w:rsidR="0031059B" w:rsidRPr="0031059B" w:rsidRDefault="0031059B" w:rsidP="0031059B">
      <w:pPr>
        <w:spacing w:before="60" w:after="60" w:line="264" w:lineRule="auto"/>
        <w:jc w:val="both"/>
        <w:rPr>
          <w:i/>
          <w:sz w:val="26"/>
          <w:szCs w:val="26"/>
        </w:rPr>
      </w:pPr>
      <w:r w:rsidRPr="0031059B">
        <w:rPr>
          <w:i/>
          <w:sz w:val="26"/>
          <w:szCs w:val="26"/>
          <w:lang w:val="vi-VN"/>
        </w:rPr>
        <w:t>2. Người có thẩm quyền xử phạt vi phạm hành chính, cá nhân, tổ chức liên quan nếu có lỗi trong việc để quá thời hạn mà không ra quyết định xử phạt thì bị xử lý theo quy định của pháp luật”.</w:t>
      </w:r>
    </w:p>
    <w:p w14:paraId="3FA785AB" w14:textId="0B91E17F" w:rsidR="0031059B" w:rsidRDefault="0031059B" w:rsidP="001A1E34">
      <w:pPr>
        <w:spacing w:before="120" w:after="120" w:line="340" w:lineRule="exact"/>
        <w:ind w:firstLine="567"/>
        <w:jc w:val="both"/>
        <w:rPr>
          <w:color w:val="0D0D0D" w:themeColor="text1" w:themeTint="F2"/>
          <w:szCs w:val="28"/>
        </w:rPr>
      </w:pPr>
      <w:r w:rsidRPr="0031059B">
        <w:rPr>
          <w:color w:val="0D0D0D" w:themeColor="text1" w:themeTint="F2"/>
          <w:szCs w:val="28"/>
        </w:rPr>
        <w:t xml:space="preserve">Vụ việc vi phạm hành chính của Công ty TNHH Song Sinh thuộc trường hợp giải trình và cần </w:t>
      </w:r>
      <w:r w:rsidRPr="00F5122A">
        <w:rPr>
          <w:szCs w:val="28"/>
          <w:lang w:val="vi-VN"/>
        </w:rPr>
        <w:t>có</w:t>
      </w:r>
      <w:r w:rsidRPr="0031059B">
        <w:rPr>
          <w:i/>
          <w:szCs w:val="28"/>
          <w:lang w:val="vi-VN"/>
        </w:rPr>
        <w:t xml:space="preserve"> </w:t>
      </w:r>
      <w:r w:rsidRPr="0031059B">
        <w:rPr>
          <w:szCs w:val="28"/>
          <w:lang w:val="vi-VN"/>
        </w:rPr>
        <w:t>thời gian để xác minh</w:t>
      </w:r>
      <w:r w:rsidRPr="0031059B">
        <w:rPr>
          <w:color w:val="0D0D0D" w:themeColor="text1" w:themeTint="F2"/>
          <w:szCs w:val="28"/>
        </w:rPr>
        <w:t xml:space="preserve"> </w:t>
      </w:r>
      <w:r>
        <w:rPr>
          <w:color w:val="0D0D0D" w:themeColor="text1" w:themeTint="F2"/>
          <w:szCs w:val="28"/>
        </w:rPr>
        <w:t>nên thời hạn ra quyết định xử phạt áp dụng theo điểm c khoản 1 Điều 66 Luật Xử lý vi phạm hành chính nêu trên.</w:t>
      </w:r>
    </w:p>
    <w:p w14:paraId="59955775" w14:textId="2D9EF544" w:rsidR="000A7B12" w:rsidRPr="0031059B" w:rsidRDefault="00995ACD" w:rsidP="000A7B12">
      <w:pPr>
        <w:spacing w:before="120" w:after="120" w:line="340" w:lineRule="exact"/>
        <w:ind w:firstLine="567"/>
        <w:jc w:val="both"/>
        <w:rPr>
          <w:b/>
          <w:color w:val="0D0D0D" w:themeColor="text1" w:themeTint="F2"/>
          <w:szCs w:val="28"/>
        </w:rPr>
      </w:pPr>
      <w:r>
        <w:rPr>
          <w:b/>
          <w:color w:val="0D0D0D" w:themeColor="text1" w:themeTint="F2"/>
          <w:szCs w:val="28"/>
        </w:rPr>
        <w:lastRenderedPageBreak/>
        <w:t xml:space="preserve">3. </w:t>
      </w:r>
      <w:r w:rsidR="000A7B12" w:rsidRPr="0031059B">
        <w:rPr>
          <w:b/>
          <w:color w:val="0D0D0D" w:themeColor="text1" w:themeTint="F2"/>
          <w:szCs w:val="28"/>
        </w:rPr>
        <w:t>Nguyên tắc xử phạt vi phạm hành chính</w:t>
      </w:r>
    </w:p>
    <w:p w14:paraId="51491C70" w14:textId="6713E938" w:rsidR="000A7B12" w:rsidRDefault="000A7B12" w:rsidP="000A7B12">
      <w:pPr>
        <w:spacing w:before="120" w:after="120" w:line="264" w:lineRule="auto"/>
        <w:ind w:firstLine="567"/>
        <w:jc w:val="both"/>
        <w:rPr>
          <w:szCs w:val="28"/>
        </w:rPr>
      </w:pPr>
      <w:r w:rsidRPr="00214389">
        <w:rPr>
          <w:szCs w:val="28"/>
        </w:rPr>
        <w:t>Điểm d</w:t>
      </w:r>
      <w:r>
        <w:rPr>
          <w:szCs w:val="28"/>
        </w:rPr>
        <w:t>, đ</w:t>
      </w:r>
      <w:r w:rsidRPr="00214389">
        <w:rPr>
          <w:szCs w:val="28"/>
        </w:rPr>
        <w:t xml:space="preserve"> khoản 1 Điều 3 Luật Xử lý vi phạm hành chính (đã được sửa đổi, bổ sung tại khoản 2 Điều 1 Luật Sửa đổi, bổ sung một số điều của Luật Xử lý vi phạm hành chính</w:t>
      </w:r>
      <w:r w:rsidR="00F5122A">
        <w:rPr>
          <w:szCs w:val="28"/>
        </w:rPr>
        <w:t xml:space="preserve"> 2020</w:t>
      </w:r>
      <w:r w:rsidRPr="00214389">
        <w:rPr>
          <w:szCs w:val="28"/>
        </w:rPr>
        <w:t xml:space="preserve">) quy định: </w:t>
      </w:r>
    </w:p>
    <w:p w14:paraId="7CD4D4F8" w14:textId="77777777" w:rsidR="000A7B12" w:rsidRDefault="000A7B12" w:rsidP="000A7B12">
      <w:pPr>
        <w:spacing w:before="120" w:after="120" w:line="264" w:lineRule="auto"/>
        <w:ind w:firstLine="567"/>
        <w:jc w:val="both"/>
        <w:rPr>
          <w:i/>
          <w:szCs w:val="28"/>
        </w:rPr>
      </w:pPr>
      <w:r>
        <w:rPr>
          <w:szCs w:val="28"/>
        </w:rPr>
        <w:t>-</w:t>
      </w:r>
      <w:r w:rsidRPr="00214389">
        <w:rPr>
          <w:i/>
          <w:szCs w:val="28"/>
          <w:lang w:val="vi-VN"/>
        </w:rPr>
        <w:t>“d) Chỉ xử phạt vi phạm hành chính khi có hành vi vi phạm hành chính do pháp luật quy định</w:t>
      </w:r>
      <w:r w:rsidRPr="00214389">
        <w:rPr>
          <w:i/>
          <w:szCs w:val="28"/>
        </w:rPr>
        <w:t>”;</w:t>
      </w:r>
    </w:p>
    <w:p w14:paraId="0BFB1799" w14:textId="77777777" w:rsidR="000A7B12" w:rsidRPr="00214389" w:rsidRDefault="000A7B12" w:rsidP="000A7B12">
      <w:pPr>
        <w:spacing w:before="120" w:after="120" w:line="264" w:lineRule="auto"/>
        <w:ind w:firstLine="567"/>
        <w:jc w:val="both"/>
        <w:rPr>
          <w:szCs w:val="28"/>
        </w:rPr>
      </w:pPr>
      <w:r w:rsidRPr="002B6ABE">
        <w:rPr>
          <w:i/>
          <w:szCs w:val="28"/>
        </w:rPr>
        <w:t xml:space="preserve">- </w:t>
      </w:r>
      <w:r w:rsidRPr="002B6ABE">
        <w:rPr>
          <w:i/>
          <w:szCs w:val="28"/>
          <w:lang w:val="pt-BR"/>
        </w:rPr>
        <w:t>"đ)</w:t>
      </w:r>
      <w:r>
        <w:rPr>
          <w:szCs w:val="28"/>
          <w:lang w:val="pt-BR"/>
        </w:rPr>
        <w:t xml:space="preserve"> </w:t>
      </w:r>
      <w:r w:rsidRPr="00214389">
        <w:rPr>
          <w:i/>
          <w:szCs w:val="28"/>
        </w:rPr>
        <w:t xml:space="preserve">Người có thẩm quyền xử phạt có trách nhiệm chứng minh vi phạm hành chính. Cá nhân, tổ chức bị xử phạt có quyền tự mình hoặc thông qua người đại diện hợp </w:t>
      </w:r>
      <w:r w:rsidRPr="002B6ABE">
        <w:rPr>
          <w:i/>
          <w:szCs w:val="28"/>
        </w:rPr>
        <w:t>pháp chứng minh mình không vi phạm hành chính</w:t>
      </w:r>
      <w:r w:rsidRPr="002B6ABE">
        <w:rPr>
          <w:szCs w:val="28"/>
        </w:rPr>
        <w:t>”.</w:t>
      </w:r>
      <w:r w:rsidRPr="00214389">
        <w:rPr>
          <w:szCs w:val="28"/>
        </w:rPr>
        <w:t xml:space="preserve"> </w:t>
      </w:r>
    </w:p>
    <w:p w14:paraId="76846C2C" w14:textId="6DA97D5A" w:rsidR="0031059B" w:rsidRPr="0031059B" w:rsidRDefault="00740A3D" w:rsidP="00EB2CB6">
      <w:pPr>
        <w:spacing w:before="120" w:after="120" w:line="340" w:lineRule="exact"/>
        <w:ind w:firstLine="567"/>
        <w:jc w:val="both"/>
        <w:rPr>
          <w:color w:val="0D0D0D" w:themeColor="text1" w:themeTint="F2"/>
          <w:szCs w:val="28"/>
        </w:rPr>
      </w:pPr>
      <w:r>
        <w:rPr>
          <w:color w:val="0D0D0D" w:themeColor="text1" w:themeTint="F2"/>
          <w:szCs w:val="28"/>
        </w:rPr>
        <w:t xml:space="preserve"> </w:t>
      </w:r>
      <w:r w:rsidR="00EB2CB6">
        <w:rPr>
          <w:szCs w:val="28"/>
        </w:rPr>
        <w:t xml:space="preserve">Công ty TNHH Song Sinh bị lập Biên bản vi phạm hành chính </w:t>
      </w:r>
      <w:r w:rsidR="00EB2CB6" w:rsidRPr="00EB2CB6">
        <w:rPr>
          <w:szCs w:val="28"/>
        </w:rPr>
        <w:t>về hành vi hoạt động sai nội dung quy định của Giấy phép hoạt động trong phạm vi bảo vệ đập, hồ chứa thủy điện</w:t>
      </w:r>
      <w:r w:rsidR="00EB2CB6">
        <w:rPr>
          <w:szCs w:val="28"/>
        </w:rPr>
        <w:t>.</w:t>
      </w:r>
    </w:p>
    <w:p w14:paraId="5C620140" w14:textId="67246A85" w:rsidR="0031059B" w:rsidRDefault="00EB2CB6" w:rsidP="00EB2CB6">
      <w:pPr>
        <w:spacing w:before="120" w:after="120" w:line="340" w:lineRule="exact"/>
        <w:ind w:firstLine="567"/>
        <w:jc w:val="both"/>
        <w:rPr>
          <w:szCs w:val="28"/>
          <w:shd w:val="clear" w:color="auto" w:fill="FFFFFF"/>
        </w:rPr>
      </w:pPr>
      <w:r>
        <w:rPr>
          <w:szCs w:val="28"/>
        </w:rPr>
        <w:t>Đ</w:t>
      </w:r>
      <w:r w:rsidRPr="00EB2CB6">
        <w:rPr>
          <w:szCs w:val="28"/>
        </w:rPr>
        <w:t xml:space="preserve">iểm c khoản 4 Điều 16 </w:t>
      </w:r>
      <w:r w:rsidRPr="00EB2CB6">
        <w:rPr>
          <w:szCs w:val="28"/>
          <w:shd w:val="clear" w:color="auto" w:fill="FFFFFF"/>
        </w:rPr>
        <w:t>Nghị định số 134/2013/NĐ-CP</w:t>
      </w:r>
      <w:r>
        <w:rPr>
          <w:szCs w:val="28"/>
          <w:shd w:val="clear" w:color="auto" w:fill="FFFFFF"/>
        </w:rPr>
        <w:t xml:space="preserve"> quy định:</w:t>
      </w:r>
    </w:p>
    <w:p w14:paraId="7B1753AB" w14:textId="177DA8C6" w:rsidR="00EB2CB6" w:rsidRPr="00EB2CB6" w:rsidRDefault="00EB2CB6" w:rsidP="00EB2CB6">
      <w:pPr>
        <w:spacing w:before="120" w:after="120" w:line="340" w:lineRule="exact"/>
        <w:ind w:firstLine="567"/>
        <w:jc w:val="both"/>
        <w:rPr>
          <w:i/>
          <w:szCs w:val="28"/>
          <w:shd w:val="clear" w:color="auto" w:fill="FFFFFF"/>
        </w:rPr>
      </w:pPr>
      <w:r w:rsidRPr="00EB2CB6">
        <w:rPr>
          <w:i/>
          <w:szCs w:val="28"/>
          <w:shd w:val="clear" w:color="auto" w:fill="FFFFFF"/>
        </w:rPr>
        <w:t>“4. Phạt tiền từ 70.000.000 đồng đến 90.000.000 đồng đối với một trong các hành vi vi phạm sau đây:</w:t>
      </w:r>
    </w:p>
    <w:p w14:paraId="4AC06741" w14:textId="6396332E" w:rsidR="00EB2CB6" w:rsidRPr="00EB2CB6" w:rsidRDefault="00EB2CB6" w:rsidP="00EB2CB6">
      <w:pPr>
        <w:spacing w:before="120" w:after="120" w:line="340" w:lineRule="exact"/>
        <w:ind w:firstLine="567"/>
        <w:jc w:val="both"/>
        <w:rPr>
          <w:i/>
          <w:szCs w:val="28"/>
          <w:shd w:val="clear" w:color="auto" w:fill="FFFFFF"/>
        </w:rPr>
      </w:pPr>
      <w:r w:rsidRPr="00EB2CB6">
        <w:rPr>
          <w:i/>
          <w:szCs w:val="28"/>
          <w:shd w:val="clear" w:color="auto" w:fill="FFFFFF"/>
        </w:rPr>
        <w:t>…………………….</w:t>
      </w:r>
    </w:p>
    <w:p w14:paraId="50F43EE6" w14:textId="2C0AA220" w:rsidR="00EB2CB6" w:rsidRDefault="00EB2CB6" w:rsidP="00EB2CB6">
      <w:pPr>
        <w:spacing w:before="120" w:after="120" w:line="340" w:lineRule="exact"/>
        <w:ind w:firstLine="567"/>
        <w:jc w:val="both"/>
        <w:rPr>
          <w:szCs w:val="28"/>
          <w:shd w:val="clear" w:color="auto" w:fill="FFFFFF"/>
        </w:rPr>
      </w:pPr>
      <w:r w:rsidRPr="00EB2CB6">
        <w:rPr>
          <w:i/>
          <w:szCs w:val="28"/>
          <w:shd w:val="clear" w:color="auto" w:fill="FFFFFF"/>
        </w:rPr>
        <w:t>c) Hoạt động sai nội dung quy định của giấy phép hoạt động trong phạm vi bảo vệ đập, hồ chứa thủy điện, trừ trường hợp sử dụng mặt nước hồ chứa để nuôi trồng thủy sản, kinh doanh du lịch, giải trí không được cơ quan quản lý nhà nước về tài nguyên nước chấp thuận bằng văn bản mà bị xử phạt vi phạm hành chính theo quy định về xử phạt vi phạm hành chính trong lĩnh vực tài nguyên nước và khoáng sản, hoặc lĩnh vực khai thác và bảo vệ công trình thủy lợi;</w:t>
      </w:r>
      <w:r>
        <w:rPr>
          <w:i/>
          <w:szCs w:val="28"/>
          <w:shd w:val="clear" w:color="auto" w:fill="FFFFFF"/>
        </w:rPr>
        <w:t>”</w:t>
      </w:r>
    </w:p>
    <w:p w14:paraId="6E993BC6" w14:textId="37113705" w:rsidR="00484791" w:rsidRDefault="00484791" w:rsidP="00F5122A">
      <w:pPr>
        <w:spacing w:before="120" w:after="120" w:line="340" w:lineRule="exact"/>
        <w:ind w:firstLine="567"/>
        <w:jc w:val="both"/>
        <w:rPr>
          <w:szCs w:val="28"/>
          <w:shd w:val="clear" w:color="auto" w:fill="FFFFFF"/>
        </w:rPr>
      </w:pPr>
      <w:r>
        <w:rPr>
          <w:szCs w:val="28"/>
        </w:rPr>
        <w:t xml:space="preserve">Theo </w:t>
      </w:r>
      <w:r>
        <w:rPr>
          <w:iCs/>
          <w:color w:val="000000"/>
          <w:szCs w:val="28"/>
          <w:shd w:val="clear" w:color="auto" w:fill="FFFFFF"/>
        </w:rPr>
        <w:t xml:space="preserve">Biên bản vi phạm hành chính </w:t>
      </w:r>
      <w:r w:rsidRPr="00EB2CB6">
        <w:rPr>
          <w:szCs w:val="28"/>
        </w:rPr>
        <w:t>số 65/BB-VPHC</w:t>
      </w:r>
      <w:r>
        <w:rPr>
          <w:iCs/>
          <w:color w:val="000000"/>
          <w:szCs w:val="28"/>
          <w:shd w:val="clear" w:color="auto" w:fill="FFFFFF"/>
        </w:rPr>
        <w:t>, Biên bản xác minh tình tiết vụ việc vi phạm hành chính số 71/BB-XM, Tờ trình số 127/TTr-UBND ngày 18/10/2023 của UBND huyệ</w:t>
      </w:r>
      <w:r w:rsidR="00F5122A">
        <w:rPr>
          <w:iCs/>
          <w:color w:val="000000"/>
          <w:szCs w:val="28"/>
          <w:shd w:val="clear" w:color="auto" w:fill="FFFFFF"/>
        </w:rPr>
        <w:t>n Lâm Hà, căn cứ để xác định “</w:t>
      </w:r>
      <w:r w:rsidR="00F5122A">
        <w:rPr>
          <w:i/>
          <w:szCs w:val="28"/>
          <w:shd w:val="clear" w:color="auto" w:fill="FFFFFF"/>
        </w:rPr>
        <w:t>h</w:t>
      </w:r>
      <w:r w:rsidR="00F5122A" w:rsidRPr="00EB2CB6">
        <w:rPr>
          <w:i/>
          <w:szCs w:val="28"/>
          <w:shd w:val="clear" w:color="auto" w:fill="FFFFFF"/>
        </w:rPr>
        <w:t>oạt động sai nội dung quy định</w:t>
      </w:r>
      <w:r w:rsidR="00F5122A">
        <w:rPr>
          <w:i/>
          <w:szCs w:val="28"/>
          <w:shd w:val="clear" w:color="auto" w:fill="FFFFFF"/>
        </w:rPr>
        <w:t xml:space="preserve">” </w:t>
      </w:r>
      <w:r w:rsidR="00F5122A">
        <w:rPr>
          <w:szCs w:val="28"/>
          <w:shd w:val="clear" w:color="auto" w:fill="FFFFFF"/>
        </w:rPr>
        <w:t>là Văn bản số 5761/UBND-GT ngày 11/9/2018 của UBND tỉnh Lâm Đồng về việc nạo vét, kết hợp thu hồi cát, sỏi xây dựng tại lòng hồ thủy điện Đồng Nai 2 thuộc huyện Di Linh và huyện Lâm Hà.</w:t>
      </w:r>
    </w:p>
    <w:p w14:paraId="2A789A94" w14:textId="4D676BBF" w:rsidR="00F5122A" w:rsidRPr="00F5122A" w:rsidRDefault="00F5122A" w:rsidP="00F5122A">
      <w:pPr>
        <w:spacing w:before="120" w:after="120" w:line="340" w:lineRule="exact"/>
        <w:ind w:firstLine="567"/>
        <w:jc w:val="both"/>
        <w:rPr>
          <w:iCs/>
          <w:color w:val="000000"/>
          <w:szCs w:val="28"/>
          <w:shd w:val="clear" w:color="auto" w:fill="FFFFFF"/>
        </w:rPr>
      </w:pPr>
      <w:r>
        <w:rPr>
          <w:szCs w:val="28"/>
          <w:shd w:val="clear" w:color="auto" w:fill="FFFFFF"/>
        </w:rPr>
        <w:t xml:space="preserve">Vậy để có căn cứ xem xét Văn bản số 5761/UBND-GT có phải là </w:t>
      </w:r>
      <w:r>
        <w:rPr>
          <w:i/>
          <w:szCs w:val="28"/>
          <w:shd w:val="clear" w:color="auto" w:fill="FFFFFF"/>
        </w:rPr>
        <w:t>G</w:t>
      </w:r>
      <w:r w:rsidRPr="00EB2CB6">
        <w:rPr>
          <w:i/>
          <w:szCs w:val="28"/>
          <w:shd w:val="clear" w:color="auto" w:fill="FFFFFF"/>
        </w:rPr>
        <w:t>iấy phép hoạt động trong phạm vi bảo vệ đập, hồ chứa thủy điện</w:t>
      </w:r>
      <w:r>
        <w:rPr>
          <w:i/>
          <w:szCs w:val="28"/>
          <w:shd w:val="clear" w:color="auto" w:fill="FFFFFF"/>
        </w:rPr>
        <w:t xml:space="preserve"> </w:t>
      </w:r>
      <w:r>
        <w:rPr>
          <w:szCs w:val="28"/>
          <w:shd w:val="clear" w:color="auto" w:fill="FFFFFF"/>
        </w:rPr>
        <w:t xml:space="preserve">như </w:t>
      </w:r>
      <w:r>
        <w:rPr>
          <w:szCs w:val="28"/>
        </w:rPr>
        <w:t>đ</w:t>
      </w:r>
      <w:r w:rsidRPr="00EB2CB6">
        <w:rPr>
          <w:szCs w:val="28"/>
        </w:rPr>
        <w:t xml:space="preserve">iểm c khoản 4 Điều 16 </w:t>
      </w:r>
      <w:r w:rsidRPr="00EB2CB6">
        <w:rPr>
          <w:szCs w:val="28"/>
          <w:shd w:val="clear" w:color="auto" w:fill="FFFFFF"/>
        </w:rPr>
        <w:t>Nghị định số 134/2013/NĐ-CP</w:t>
      </w:r>
      <w:r>
        <w:rPr>
          <w:szCs w:val="28"/>
          <w:shd w:val="clear" w:color="auto" w:fill="FFFFFF"/>
        </w:rPr>
        <w:t xml:space="preserve"> quy định, đề nghị UBND tỉnh chỉ đạo các cơ quan chuyên môn có liên quan xác định căn cứ pháp lý, trình tự thủ tục (nếu có) để Công ty TNHH Song Sinh được phép hoạt động trong </w:t>
      </w:r>
      <w:r w:rsidRPr="00F5122A">
        <w:rPr>
          <w:szCs w:val="28"/>
          <w:shd w:val="clear" w:color="auto" w:fill="FFFFFF"/>
        </w:rPr>
        <w:t>phạm vi bảo vệ đập, hồ chứa thủy điện</w:t>
      </w:r>
      <w:r>
        <w:rPr>
          <w:szCs w:val="28"/>
          <w:shd w:val="clear" w:color="auto" w:fill="FFFFFF"/>
        </w:rPr>
        <w:t xml:space="preserve">, từ đó có căn cứ chứng minh hành vi vi phạm và áp dụng xử phạt theo </w:t>
      </w:r>
      <w:r>
        <w:rPr>
          <w:szCs w:val="28"/>
        </w:rPr>
        <w:t>đ</w:t>
      </w:r>
      <w:r w:rsidRPr="00EB2CB6">
        <w:rPr>
          <w:szCs w:val="28"/>
        </w:rPr>
        <w:t xml:space="preserve">iểm c khoản 4 Điều 16 </w:t>
      </w:r>
      <w:r w:rsidRPr="00EB2CB6">
        <w:rPr>
          <w:szCs w:val="28"/>
          <w:shd w:val="clear" w:color="auto" w:fill="FFFFFF"/>
        </w:rPr>
        <w:t>Nghị định số 134/2013/NĐ-CP</w:t>
      </w:r>
      <w:r>
        <w:rPr>
          <w:szCs w:val="28"/>
          <w:shd w:val="clear" w:color="auto" w:fill="FFFFFF"/>
        </w:rPr>
        <w:t>.</w:t>
      </w:r>
    </w:p>
    <w:p w14:paraId="6564558D" w14:textId="6C7CE746" w:rsidR="003746DA" w:rsidRPr="0086265E" w:rsidRDefault="00B23653" w:rsidP="0080305E">
      <w:pPr>
        <w:pStyle w:val="BodyText"/>
        <w:shd w:val="clear" w:color="auto" w:fill="auto"/>
        <w:spacing w:before="60" w:after="60" w:line="264" w:lineRule="auto"/>
        <w:ind w:firstLine="567"/>
        <w:jc w:val="both"/>
        <w:rPr>
          <w:sz w:val="28"/>
          <w:szCs w:val="28"/>
        </w:rPr>
      </w:pPr>
      <w:r w:rsidRPr="00203CF6">
        <w:rPr>
          <w:sz w:val="28"/>
          <w:szCs w:val="28"/>
        </w:rPr>
        <w:t xml:space="preserve">Trên đây là một số nội dung liên quan đến </w:t>
      </w:r>
      <w:r w:rsidR="007256C3" w:rsidRPr="00203CF6">
        <w:rPr>
          <w:sz w:val="28"/>
          <w:szCs w:val="28"/>
        </w:rPr>
        <w:t xml:space="preserve">chỉ đạo của UBND tỉnh tại các </w:t>
      </w:r>
      <w:r w:rsidR="00203CF6" w:rsidRPr="00203CF6">
        <w:rPr>
          <w:sz w:val="28"/>
          <w:szCs w:val="28"/>
        </w:rPr>
        <w:t>Văn bản số 9170/UBND-MT</w:t>
      </w:r>
      <w:r w:rsidR="00203CF6">
        <w:t xml:space="preserve"> </w:t>
      </w:r>
      <w:r w:rsidR="0086265E" w:rsidRPr="0086265E">
        <w:rPr>
          <w:sz w:val="28"/>
          <w:szCs w:val="28"/>
        </w:rPr>
        <w:t xml:space="preserve">và nội dung Giấy mời số </w:t>
      </w:r>
      <w:r w:rsidR="00203CF6">
        <w:rPr>
          <w:sz w:val="28"/>
          <w:szCs w:val="28"/>
        </w:rPr>
        <w:t>2638</w:t>
      </w:r>
      <w:r w:rsidR="0086265E" w:rsidRPr="0086265E">
        <w:rPr>
          <w:sz w:val="28"/>
          <w:szCs w:val="28"/>
        </w:rPr>
        <w:t xml:space="preserve">/GM-SCT của Sở </w:t>
      </w:r>
      <w:r w:rsidR="0086265E" w:rsidRPr="0086265E">
        <w:rPr>
          <w:sz w:val="28"/>
          <w:szCs w:val="28"/>
        </w:rPr>
        <w:lastRenderedPageBreak/>
        <w:t>Công thương</w:t>
      </w:r>
      <w:r w:rsidR="0053214D" w:rsidRPr="0086265E">
        <w:rPr>
          <w:sz w:val="28"/>
          <w:szCs w:val="28"/>
        </w:rPr>
        <w:t>,</w:t>
      </w:r>
      <w:r w:rsidRPr="0086265E">
        <w:rPr>
          <w:sz w:val="28"/>
          <w:szCs w:val="28"/>
        </w:rPr>
        <w:t xml:space="preserve"> Sở Tư pháp </w:t>
      </w:r>
      <w:r w:rsidR="0053214D" w:rsidRPr="0086265E">
        <w:rPr>
          <w:sz w:val="28"/>
          <w:szCs w:val="28"/>
        </w:rPr>
        <w:t>gửi Sở Công thương xem xét, tổng hợp đề xuất UBND tỉnh</w:t>
      </w:r>
      <w:r w:rsidRPr="0086265E">
        <w:rPr>
          <w:sz w:val="28"/>
          <w:szCs w:val="28"/>
        </w:rPr>
        <w:t>./.</w:t>
      </w:r>
    </w:p>
    <w:tbl>
      <w:tblPr>
        <w:tblW w:w="9464" w:type="dxa"/>
        <w:tblLook w:val="04A0" w:firstRow="1" w:lastRow="0" w:firstColumn="1" w:lastColumn="0" w:noHBand="0" w:noVBand="1"/>
      </w:tblPr>
      <w:tblGrid>
        <w:gridCol w:w="4786"/>
        <w:gridCol w:w="4678"/>
      </w:tblGrid>
      <w:tr w:rsidR="003746DA" w:rsidRPr="00B77D9C" w14:paraId="1B8F692B" w14:textId="77777777" w:rsidTr="00CE0346">
        <w:trPr>
          <w:trHeight w:val="1913"/>
        </w:trPr>
        <w:tc>
          <w:tcPr>
            <w:tcW w:w="4786" w:type="dxa"/>
          </w:tcPr>
          <w:p w14:paraId="5532FB88" w14:textId="77777777" w:rsidR="003746DA" w:rsidRPr="00B77D9C" w:rsidRDefault="003746DA" w:rsidP="001F50C9">
            <w:pPr>
              <w:spacing w:after="0" w:line="264" w:lineRule="auto"/>
              <w:jc w:val="both"/>
              <w:rPr>
                <w:b/>
                <w:i/>
                <w:sz w:val="24"/>
                <w:szCs w:val="24"/>
              </w:rPr>
            </w:pPr>
            <w:r w:rsidRPr="00B77D9C">
              <w:rPr>
                <w:b/>
                <w:i/>
                <w:sz w:val="24"/>
                <w:szCs w:val="24"/>
              </w:rPr>
              <w:t>Nơi nhận:</w:t>
            </w:r>
          </w:p>
          <w:p w14:paraId="1FE86D2B" w14:textId="733BA785" w:rsidR="003746DA" w:rsidRDefault="003746DA" w:rsidP="001F50C9">
            <w:pPr>
              <w:spacing w:after="0" w:line="260" w:lineRule="exact"/>
              <w:jc w:val="both"/>
              <w:rPr>
                <w:rFonts w:eastAsia="Times New Roman"/>
                <w:sz w:val="22"/>
              </w:rPr>
            </w:pPr>
            <w:r w:rsidRPr="00B77D9C">
              <w:rPr>
                <w:sz w:val="22"/>
              </w:rPr>
              <w:t xml:space="preserve">- </w:t>
            </w:r>
            <w:r w:rsidRPr="00B77D9C">
              <w:rPr>
                <w:rFonts w:eastAsia="Times New Roman"/>
                <w:sz w:val="22"/>
              </w:rPr>
              <w:t>Như trên;</w:t>
            </w:r>
          </w:p>
          <w:p w14:paraId="32B0DF84" w14:textId="77777777" w:rsidR="003746DA" w:rsidRDefault="003746DA" w:rsidP="001F50C9">
            <w:pPr>
              <w:spacing w:after="0" w:line="260" w:lineRule="exact"/>
              <w:jc w:val="both"/>
              <w:rPr>
                <w:rFonts w:eastAsia="Times New Roman"/>
                <w:sz w:val="22"/>
              </w:rPr>
            </w:pPr>
            <w:r w:rsidRPr="00B77D9C">
              <w:rPr>
                <w:rFonts w:eastAsia="Times New Roman"/>
                <w:sz w:val="22"/>
              </w:rPr>
              <w:t xml:space="preserve">- </w:t>
            </w:r>
            <w:r w:rsidR="004B1070">
              <w:rPr>
                <w:rFonts w:eastAsia="Times New Roman"/>
                <w:sz w:val="22"/>
              </w:rPr>
              <w:t>Giám đốc</w:t>
            </w:r>
            <w:r w:rsidRPr="00B77D9C">
              <w:rPr>
                <w:rFonts w:eastAsia="Times New Roman"/>
                <w:sz w:val="22"/>
              </w:rPr>
              <w:t>;</w:t>
            </w:r>
          </w:p>
          <w:p w14:paraId="467B9D13" w14:textId="13D9DBC5" w:rsidR="004B1070" w:rsidRDefault="004B1070" w:rsidP="001F50C9">
            <w:pPr>
              <w:spacing w:after="0" w:line="260" w:lineRule="exact"/>
              <w:jc w:val="both"/>
              <w:rPr>
                <w:rFonts w:eastAsia="Times New Roman"/>
                <w:sz w:val="22"/>
              </w:rPr>
            </w:pPr>
            <w:r>
              <w:rPr>
                <w:rFonts w:eastAsia="Times New Roman"/>
                <w:sz w:val="22"/>
              </w:rPr>
              <w:t xml:space="preserve">- Phó </w:t>
            </w:r>
            <w:r w:rsidR="00CE0346">
              <w:rPr>
                <w:rFonts w:eastAsia="Times New Roman"/>
                <w:sz w:val="22"/>
              </w:rPr>
              <w:t>G</w:t>
            </w:r>
            <w:r>
              <w:rPr>
                <w:rFonts w:eastAsia="Times New Roman"/>
                <w:sz w:val="22"/>
              </w:rPr>
              <w:t>iám đốc</w:t>
            </w:r>
            <w:r w:rsidR="00C1643B">
              <w:rPr>
                <w:rFonts w:eastAsia="Times New Roman"/>
                <w:sz w:val="22"/>
              </w:rPr>
              <w:t xml:space="preserve"> phụ trách</w:t>
            </w:r>
            <w:r>
              <w:rPr>
                <w:rFonts w:eastAsia="Times New Roman"/>
                <w:sz w:val="22"/>
              </w:rPr>
              <w:t>;</w:t>
            </w:r>
          </w:p>
          <w:p w14:paraId="27D0DEF9" w14:textId="77B707D1" w:rsidR="00054A7B" w:rsidRPr="00B77D9C" w:rsidRDefault="00054A7B" w:rsidP="001F50C9">
            <w:pPr>
              <w:spacing w:after="0" w:line="260" w:lineRule="exact"/>
              <w:jc w:val="both"/>
              <w:rPr>
                <w:rFonts w:eastAsia="Times New Roman"/>
                <w:sz w:val="22"/>
              </w:rPr>
            </w:pPr>
            <w:r>
              <w:rPr>
                <w:rFonts w:eastAsia="Times New Roman"/>
                <w:sz w:val="22"/>
              </w:rPr>
              <w:t>- Trang TTĐT STP;</w:t>
            </w:r>
          </w:p>
          <w:p w14:paraId="0F45BEBE" w14:textId="3035C9D7" w:rsidR="003746DA" w:rsidRPr="000E2425" w:rsidRDefault="003746DA" w:rsidP="00A16AC2">
            <w:pPr>
              <w:spacing w:after="0" w:line="240" w:lineRule="auto"/>
              <w:jc w:val="both"/>
              <w:rPr>
                <w:rFonts w:eastAsia="Times New Roman"/>
                <w:sz w:val="22"/>
              </w:rPr>
            </w:pPr>
            <w:r>
              <w:rPr>
                <w:rFonts w:eastAsia="Times New Roman"/>
                <w:sz w:val="22"/>
              </w:rPr>
              <w:t xml:space="preserve">- </w:t>
            </w:r>
            <w:r w:rsidRPr="00B77D9C">
              <w:rPr>
                <w:rFonts w:eastAsia="Times New Roman"/>
                <w:sz w:val="22"/>
              </w:rPr>
              <w:t>Lưu</w:t>
            </w:r>
            <w:r w:rsidR="007B60F8">
              <w:rPr>
                <w:rFonts w:eastAsia="Times New Roman"/>
                <w:sz w:val="22"/>
              </w:rPr>
              <w:t>:</w:t>
            </w:r>
            <w:r w:rsidRPr="00B77D9C">
              <w:rPr>
                <w:rFonts w:eastAsia="Times New Roman"/>
                <w:sz w:val="22"/>
              </w:rPr>
              <w:t xml:space="preserve"> </w:t>
            </w:r>
            <w:r>
              <w:rPr>
                <w:rFonts w:eastAsia="Times New Roman"/>
                <w:sz w:val="22"/>
              </w:rPr>
              <w:t>V</w:t>
            </w:r>
            <w:r w:rsidRPr="00B77D9C">
              <w:rPr>
                <w:rFonts w:eastAsia="Times New Roman"/>
                <w:sz w:val="22"/>
              </w:rPr>
              <w:t>T</w:t>
            </w:r>
            <w:r w:rsidR="00A16AC2">
              <w:rPr>
                <w:rFonts w:eastAsia="Times New Roman"/>
                <w:sz w:val="22"/>
              </w:rPr>
              <w:t xml:space="preserve">, </w:t>
            </w:r>
            <w:r w:rsidR="00D03778">
              <w:rPr>
                <w:rFonts w:eastAsia="Times New Roman"/>
                <w:sz w:val="22"/>
              </w:rPr>
              <w:t>TTr</w:t>
            </w:r>
            <w:r>
              <w:rPr>
                <w:rFonts w:eastAsia="Times New Roman"/>
                <w:sz w:val="22"/>
              </w:rPr>
              <w:t>.</w:t>
            </w:r>
          </w:p>
        </w:tc>
        <w:tc>
          <w:tcPr>
            <w:tcW w:w="4678" w:type="dxa"/>
          </w:tcPr>
          <w:p w14:paraId="01B33487" w14:textId="77777777" w:rsidR="003746DA" w:rsidRPr="00B77D9C" w:rsidRDefault="003746DA" w:rsidP="001F50C9">
            <w:pPr>
              <w:spacing w:after="0" w:line="240" w:lineRule="auto"/>
              <w:jc w:val="center"/>
              <w:rPr>
                <w:b/>
              </w:rPr>
            </w:pPr>
            <w:r>
              <w:rPr>
                <w:b/>
              </w:rPr>
              <w:t xml:space="preserve">KT. </w:t>
            </w:r>
            <w:r w:rsidRPr="00B77D9C">
              <w:rPr>
                <w:b/>
              </w:rPr>
              <w:t>GIÁM ĐỐC</w:t>
            </w:r>
          </w:p>
          <w:p w14:paraId="52F2C6AE" w14:textId="77777777" w:rsidR="003746DA" w:rsidRDefault="003746DA" w:rsidP="001F50C9">
            <w:pPr>
              <w:spacing w:after="0" w:line="288" w:lineRule="auto"/>
              <w:jc w:val="center"/>
              <w:rPr>
                <w:b/>
              </w:rPr>
            </w:pPr>
            <w:r>
              <w:rPr>
                <w:b/>
              </w:rPr>
              <w:t>PHÓ GIÁM ĐỐC</w:t>
            </w:r>
            <w:r w:rsidR="00010FCE">
              <w:rPr>
                <w:b/>
              </w:rPr>
              <w:t xml:space="preserve"> </w:t>
            </w:r>
          </w:p>
          <w:p w14:paraId="46BCDE6D" w14:textId="77777777" w:rsidR="00C7620A" w:rsidRDefault="00C7620A" w:rsidP="001F50C9">
            <w:pPr>
              <w:spacing w:after="0" w:line="264" w:lineRule="auto"/>
              <w:rPr>
                <w:b/>
              </w:rPr>
            </w:pPr>
          </w:p>
          <w:p w14:paraId="56ADC494" w14:textId="77777777" w:rsidR="00BC3ECD" w:rsidRDefault="00BC3ECD" w:rsidP="001F50C9">
            <w:pPr>
              <w:spacing w:after="0" w:line="264" w:lineRule="auto"/>
              <w:rPr>
                <w:b/>
              </w:rPr>
            </w:pPr>
          </w:p>
          <w:p w14:paraId="635B3875" w14:textId="6140C6E2" w:rsidR="00BC3ECD" w:rsidRDefault="00BC3ECD" w:rsidP="001F50C9">
            <w:pPr>
              <w:spacing w:after="0" w:line="264" w:lineRule="auto"/>
              <w:rPr>
                <w:b/>
              </w:rPr>
            </w:pPr>
          </w:p>
          <w:p w14:paraId="0D1ABB13" w14:textId="77777777" w:rsidR="001F50C9" w:rsidRDefault="001F50C9" w:rsidP="001F50C9">
            <w:pPr>
              <w:spacing w:after="0" w:line="264" w:lineRule="auto"/>
              <w:rPr>
                <w:b/>
              </w:rPr>
            </w:pPr>
          </w:p>
          <w:p w14:paraId="3D91C06A" w14:textId="77777777" w:rsidR="00C7620A" w:rsidRPr="00B77D9C" w:rsidRDefault="00D03778" w:rsidP="001F50C9">
            <w:pPr>
              <w:spacing w:after="0" w:line="264" w:lineRule="auto"/>
              <w:jc w:val="center"/>
            </w:pPr>
            <w:r>
              <w:rPr>
                <w:b/>
              </w:rPr>
              <w:t>Trần Thị Mỹ Linh</w:t>
            </w:r>
          </w:p>
        </w:tc>
      </w:tr>
    </w:tbl>
    <w:p w14:paraId="67C2551C" w14:textId="77777777" w:rsidR="008961BB" w:rsidRDefault="008961BB" w:rsidP="00012FD9"/>
    <w:sectPr w:rsidR="008961BB" w:rsidSect="00A55F2A">
      <w:headerReference w:type="default"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7177" w14:textId="77777777" w:rsidR="006D4FCD" w:rsidRDefault="006D4FCD" w:rsidP="00C7620A">
      <w:pPr>
        <w:spacing w:after="0" w:line="240" w:lineRule="auto"/>
      </w:pPr>
      <w:r>
        <w:separator/>
      </w:r>
    </w:p>
  </w:endnote>
  <w:endnote w:type="continuationSeparator" w:id="0">
    <w:p w14:paraId="2F5EBB96" w14:textId="77777777" w:rsidR="006D4FCD" w:rsidRDefault="006D4FCD" w:rsidP="00C7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1041" w14:textId="77777777" w:rsidR="00C7620A" w:rsidRDefault="00C7620A">
    <w:pPr>
      <w:pStyle w:val="Footer"/>
      <w:jc w:val="center"/>
    </w:pPr>
  </w:p>
  <w:p w14:paraId="037D90D1" w14:textId="77777777" w:rsidR="00C7620A" w:rsidRDefault="00C76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35F8" w14:textId="77777777" w:rsidR="006D4FCD" w:rsidRDefault="006D4FCD" w:rsidP="00C7620A">
      <w:pPr>
        <w:spacing w:after="0" w:line="240" w:lineRule="auto"/>
      </w:pPr>
      <w:r>
        <w:separator/>
      </w:r>
    </w:p>
  </w:footnote>
  <w:footnote w:type="continuationSeparator" w:id="0">
    <w:p w14:paraId="00EFBC01" w14:textId="77777777" w:rsidR="006D4FCD" w:rsidRDefault="006D4FCD" w:rsidP="00C7620A">
      <w:pPr>
        <w:spacing w:after="0" w:line="240" w:lineRule="auto"/>
      </w:pPr>
      <w:r>
        <w:continuationSeparator/>
      </w:r>
    </w:p>
  </w:footnote>
  <w:footnote w:id="1">
    <w:p w14:paraId="2E0F804A" w14:textId="0E5FD28C" w:rsidR="0040516C" w:rsidRDefault="0040516C" w:rsidP="0040516C">
      <w:pPr>
        <w:spacing w:before="60" w:after="60" w:line="264" w:lineRule="auto"/>
        <w:jc w:val="both"/>
        <w:rPr>
          <w:sz w:val="20"/>
          <w:szCs w:val="20"/>
        </w:rPr>
      </w:pPr>
      <w:r>
        <w:rPr>
          <w:rStyle w:val="FootnoteReference"/>
        </w:rPr>
        <w:footnoteRef/>
      </w:r>
      <w:r>
        <w:t xml:space="preserve"> </w:t>
      </w:r>
      <w:r w:rsidR="00B73CC6" w:rsidRPr="001E4483">
        <w:rPr>
          <w:sz w:val="20"/>
          <w:szCs w:val="20"/>
        </w:rPr>
        <w:t>-</w:t>
      </w:r>
      <w:r w:rsidR="00B73CC6">
        <w:t xml:space="preserve"> </w:t>
      </w:r>
      <w:r w:rsidRPr="0040516C">
        <w:rPr>
          <w:sz w:val="20"/>
          <w:szCs w:val="20"/>
        </w:rPr>
        <w:t xml:space="preserve">Khoản 6 Điều 58 quy định: </w:t>
      </w:r>
      <w:r>
        <w:rPr>
          <w:sz w:val="20"/>
          <w:szCs w:val="20"/>
        </w:rPr>
        <w:t>“</w:t>
      </w:r>
      <w:r w:rsidRPr="0040516C">
        <w:rPr>
          <w:sz w:val="20"/>
          <w:szCs w:val="20"/>
          <w:lang w:val="vi-VN"/>
        </w:rPr>
        <w:t xml:space="preserve">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tại Điều 59 của Luật này để làm căn cứ ra quyết định xử phạt. Việc xác minh tình tiết của vụ việc vi phạm hành chính được lập thành biên bản xác minh. Biên bản xác minh là tài liệu gắn liền với biên bản vi phạm hành chính và </w:t>
      </w:r>
      <w:r w:rsidRPr="0040516C">
        <w:rPr>
          <w:sz w:val="20"/>
          <w:szCs w:val="20"/>
        </w:rPr>
        <w:t>đ</w:t>
      </w:r>
      <w:r w:rsidRPr="0040516C">
        <w:rPr>
          <w:sz w:val="20"/>
          <w:szCs w:val="20"/>
          <w:lang w:val="vi-VN"/>
        </w:rPr>
        <w:t>ược lưu trong hồ sơ xử phạt</w:t>
      </w:r>
      <w:r>
        <w:rPr>
          <w:sz w:val="20"/>
          <w:szCs w:val="20"/>
        </w:rPr>
        <w:t>”</w:t>
      </w:r>
    </w:p>
    <w:p w14:paraId="774FA2F2" w14:textId="37B0F8F3" w:rsidR="0040516C" w:rsidRPr="00B73CC6" w:rsidRDefault="00B73CC6" w:rsidP="00B73CC6">
      <w:pPr>
        <w:spacing w:after="0" w:line="240" w:lineRule="auto"/>
        <w:ind w:firstLine="142"/>
        <w:jc w:val="both"/>
        <w:rPr>
          <w:sz w:val="20"/>
          <w:szCs w:val="20"/>
        </w:rPr>
      </w:pPr>
      <w:r>
        <w:rPr>
          <w:sz w:val="20"/>
          <w:szCs w:val="20"/>
        </w:rPr>
        <w:t xml:space="preserve">- </w:t>
      </w:r>
      <w:r w:rsidR="0040516C">
        <w:rPr>
          <w:sz w:val="20"/>
          <w:szCs w:val="20"/>
        </w:rPr>
        <w:t xml:space="preserve">Khoản 1 </w:t>
      </w:r>
      <w:r w:rsidRPr="0040516C">
        <w:rPr>
          <w:sz w:val="20"/>
          <w:szCs w:val="20"/>
        </w:rPr>
        <w:t>Điề</w:t>
      </w:r>
      <w:r>
        <w:rPr>
          <w:sz w:val="20"/>
          <w:szCs w:val="20"/>
        </w:rPr>
        <w:t xml:space="preserve">u 59 quy định: </w:t>
      </w:r>
      <w:r w:rsidRPr="00B73CC6">
        <w:rPr>
          <w:sz w:val="20"/>
          <w:szCs w:val="20"/>
        </w:rPr>
        <w:t>“</w:t>
      </w:r>
      <w:r w:rsidR="0040516C" w:rsidRPr="00B73CC6">
        <w:rPr>
          <w:sz w:val="20"/>
          <w:szCs w:val="20"/>
        </w:rPr>
        <w:t xml:space="preserve"> Khi xem xét ra quyết định xử phạt vi phạm hành chính, trong trường hợp cần thiết người có thẩm quyền xử phạt có trách nhiệm xác minh các tình tiết sau đây:</w:t>
      </w:r>
    </w:p>
    <w:p w14:paraId="452B11E7" w14:textId="77777777" w:rsidR="0040516C" w:rsidRPr="00B73CC6" w:rsidRDefault="0040516C" w:rsidP="00B73CC6">
      <w:pPr>
        <w:spacing w:after="0" w:line="240" w:lineRule="auto"/>
        <w:jc w:val="both"/>
        <w:rPr>
          <w:sz w:val="20"/>
          <w:szCs w:val="20"/>
        </w:rPr>
      </w:pPr>
      <w:r w:rsidRPr="00B73CC6">
        <w:rPr>
          <w:sz w:val="20"/>
          <w:szCs w:val="20"/>
        </w:rPr>
        <w:t>a) Có hay không có vi phạm hành chính;</w:t>
      </w:r>
    </w:p>
    <w:p w14:paraId="205AABA7" w14:textId="77777777" w:rsidR="0040516C" w:rsidRPr="00B73CC6" w:rsidRDefault="0040516C" w:rsidP="00B73CC6">
      <w:pPr>
        <w:spacing w:after="0" w:line="240" w:lineRule="auto"/>
        <w:jc w:val="both"/>
        <w:rPr>
          <w:sz w:val="20"/>
          <w:szCs w:val="20"/>
        </w:rPr>
      </w:pPr>
      <w:r w:rsidRPr="00B73CC6">
        <w:rPr>
          <w:sz w:val="20"/>
          <w:szCs w:val="20"/>
        </w:rPr>
        <w:t>b) Cá nhân, tổ chức thực hiện hành vi vi phạm hành chính, lỗi, nhân thân của cá nhân vi phạm hành chính;</w:t>
      </w:r>
    </w:p>
    <w:p w14:paraId="5177EC40" w14:textId="77777777" w:rsidR="0040516C" w:rsidRPr="00B73CC6" w:rsidRDefault="0040516C" w:rsidP="00B73CC6">
      <w:pPr>
        <w:spacing w:after="0" w:line="240" w:lineRule="auto"/>
        <w:jc w:val="both"/>
        <w:rPr>
          <w:sz w:val="20"/>
          <w:szCs w:val="20"/>
        </w:rPr>
      </w:pPr>
      <w:r w:rsidRPr="00B73CC6">
        <w:rPr>
          <w:sz w:val="20"/>
          <w:szCs w:val="20"/>
        </w:rPr>
        <w:t>c) Tình tiết tăng nặng, giảm nhẹ;</w:t>
      </w:r>
    </w:p>
    <w:p w14:paraId="00AF3124" w14:textId="77777777" w:rsidR="0040516C" w:rsidRPr="00B73CC6" w:rsidRDefault="0040516C" w:rsidP="00B73CC6">
      <w:pPr>
        <w:spacing w:after="0" w:line="240" w:lineRule="auto"/>
        <w:jc w:val="both"/>
        <w:rPr>
          <w:sz w:val="20"/>
          <w:szCs w:val="20"/>
        </w:rPr>
      </w:pPr>
      <w:r w:rsidRPr="00B73CC6">
        <w:rPr>
          <w:sz w:val="20"/>
          <w:szCs w:val="20"/>
        </w:rPr>
        <w:t>d) Tính chất, mức độ thiệt hại do vi phạm hành chính gây ra;</w:t>
      </w:r>
    </w:p>
    <w:p w14:paraId="5BFCD60B" w14:textId="77777777" w:rsidR="0040516C" w:rsidRPr="00B73CC6" w:rsidRDefault="0040516C" w:rsidP="00B73CC6">
      <w:pPr>
        <w:spacing w:after="0" w:line="240" w:lineRule="auto"/>
        <w:jc w:val="both"/>
        <w:rPr>
          <w:sz w:val="20"/>
          <w:szCs w:val="20"/>
        </w:rPr>
      </w:pPr>
      <w:r w:rsidRPr="001E4483">
        <w:rPr>
          <w:sz w:val="20"/>
          <w:szCs w:val="20"/>
        </w:rPr>
        <w:t>đ)</w:t>
      </w:r>
      <w:r w:rsidRPr="00B73CC6">
        <w:rPr>
          <w:sz w:val="20"/>
          <w:szCs w:val="20"/>
        </w:rPr>
        <w:t xml:space="preserve"> Trường hợp không ra quyết định xử phạt vi phạm hành chính theo quy định tại khoản 1 Điều 65 của Luật này;</w:t>
      </w:r>
    </w:p>
    <w:p w14:paraId="0DAC4508" w14:textId="77777777" w:rsidR="0040516C" w:rsidRPr="00B73CC6" w:rsidRDefault="0040516C" w:rsidP="00B73CC6">
      <w:pPr>
        <w:spacing w:after="0" w:line="240" w:lineRule="auto"/>
        <w:jc w:val="both"/>
        <w:rPr>
          <w:sz w:val="20"/>
          <w:szCs w:val="20"/>
        </w:rPr>
      </w:pPr>
      <w:r w:rsidRPr="00B73CC6">
        <w:rPr>
          <w:sz w:val="20"/>
          <w:szCs w:val="20"/>
        </w:rPr>
        <w:t>e) Tình tiết khác có ý nghĩa đối với việc xem xét, quyết định xử phạt.</w:t>
      </w:r>
    </w:p>
    <w:p w14:paraId="3F254C04" w14:textId="384AC450" w:rsidR="0040516C" w:rsidRPr="0040516C" w:rsidRDefault="0040516C" w:rsidP="0040516C">
      <w:pPr>
        <w:spacing w:before="60" w:after="60" w:line="264" w:lineRule="auto"/>
        <w:jc w:val="both"/>
        <w:rPr>
          <w:sz w:val="20"/>
          <w:szCs w:val="20"/>
        </w:rPr>
      </w:pPr>
    </w:p>
    <w:p w14:paraId="446CB03A" w14:textId="21C2F310" w:rsidR="0040516C" w:rsidRDefault="0040516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07153"/>
      <w:docPartObj>
        <w:docPartGallery w:val="Page Numbers (Top of Page)"/>
        <w:docPartUnique/>
      </w:docPartObj>
    </w:sdtPr>
    <w:sdtEndPr>
      <w:rPr>
        <w:noProof/>
      </w:rPr>
    </w:sdtEndPr>
    <w:sdtContent>
      <w:p w14:paraId="3B493703" w14:textId="6798522C" w:rsidR="008F4D7B" w:rsidRDefault="008F4D7B">
        <w:pPr>
          <w:pStyle w:val="Header"/>
          <w:jc w:val="center"/>
        </w:pPr>
        <w:r>
          <w:fldChar w:fldCharType="begin"/>
        </w:r>
        <w:r>
          <w:instrText xml:space="preserve"> PAGE   \* MERGEFORMAT </w:instrText>
        </w:r>
        <w:r>
          <w:fldChar w:fldCharType="separate"/>
        </w:r>
        <w:r w:rsidR="00CC1ABF">
          <w:rPr>
            <w:noProof/>
          </w:rPr>
          <w:t>4</w:t>
        </w:r>
        <w:r>
          <w:rPr>
            <w:noProof/>
          </w:rPr>
          <w:fldChar w:fldCharType="end"/>
        </w:r>
      </w:p>
    </w:sdtContent>
  </w:sdt>
  <w:p w14:paraId="677E1775" w14:textId="77777777" w:rsidR="00012FD9" w:rsidRDefault="00012F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9E78" w14:textId="77777777" w:rsidR="00460CD0" w:rsidRDefault="00460CD0">
    <w:pPr>
      <w:pStyle w:val="Header"/>
      <w:jc w:val="center"/>
    </w:pPr>
  </w:p>
  <w:p w14:paraId="1FE23AB0" w14:textId="77777777" w:rsidR="00460CD0" w:rsidRDefault="00460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21EB"/>
    <w:multiLevelType w:val="hybridMultilevel"/>
    <w:tmpl w:val="AD2E6A0E"/>
    <w:lvl w:ilvl="0" w:tplc="1656505A">
      <w:start w:val="1"/>
      <w:numFmt w:val="lowerLetter"/>
      <w:lvlText w:val="%1)"/>
      <w:lvlJc w:val="left"/>
      <w:pPr>
        <w:ind w:left="435" w:hanging="360"/>
      </w:pPr>
      <w:rPr>
        <w:rFonts w:hint="default"/>
        <w:b/>
        <w:bCs/>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470F3CAB"/>
    <w:multiLevelType w:val="hybridMultilevel"/>
    <w:tmpl w:val="16BA41F6"/>
    <w:lvl w:ilvl="0" w:tplc="6E229B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6674D"/>
    <w:multiLevelType w:val="hybridMultilevel"/>
    <w:tmpl w:val="E71A55CA"/>
    <w:lvl w:ilvl="0" w:tplc="8A0C898A">
      <w:start w:val="7"/>
      <w:numFmt w:val="low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A"/>
    <w:rsid w:val="00010FCE"/>
    <w:rsid w:val="00012FD9"/>
    <w:rsid w:val="00020B20"/>
    <w:rsid w:val="00021014"/>
    <w:rsid w:val="000301A8"/>
    <w:rsid w:val="00041523"/>
    <w:rsid w:val="00054A7B"/>
    <w:rsid w:val="00080DF9"/>
    <w:rsid w:val="0008685F"/>
    <w:rsid w:val="000922B0"/>
    <w:rsid w:val="00092382"/>
    <w:rsid w:val="00094F37"/>
    <w:rsid w:val="000A7B12"/>
    <w:rsid w:val="000B16CE"/>
    <w:rsid w:val="000C4F06"/>
    <w:rsid w:val="000F4438"/>
    <w:rsid w:val="000F6026"/>
    <w:rsid w:val="0010319D"/>
    <w:rsid w:val="00104307"/>
    <w:rsid w:val="00111CA8"/>
    <w:rsid w:val="0011768F"/>
    <w:rsid w:val="001322C9"/>
    <w:rsid w:val="00137CCA"/>
    <w:rsid w:val="001526ED"/>
    <w:rsid w:val="00153DBD"/>
    <w:rsid w:val="00177941"/>
    <w:rsid w:val="001A1E34"/>
    <w:rsid w:val="001A5889"/>
    <w:rsid w:val="001B535D"/>
    <w:rsid w:val="001D0E9E"/>
    <w:rsid w:val="001E4483"/>
    <w:rsid w:val="001E63D1"/>
    <w:rsid w:val="001F50C9"/>
    <w:rsid w:val="001F7D53"/>
    <w:rsid w:val="00203CF6"/>
    <w:rsid w:val="00210D49"/>
    <w:rsid w:val="00213181"/>
    <w:rsid w:val="002152D0"/>
    <w:rsid w:val="0022193D"/>
    <w:rsid w:val="00253DCB"/>
    <w:rsid w:val="002825C1"/>
    <w:rsid w:val="002916A7"/>
    <w:rsid w:val="002A5687"/>
    <w:rsid w:val="002B6ABE"/>
    <w:rsid w:val="002C484B"/>
    <w:rsid w:val="002C5728"/>
    <w:rsid w:val="002D2949"/>
    <w:rsid w:val="002D66AF"/>
    <w:rsid w:val="002F3DE2"/>
    <w:rsid w:val="00303B39"/>
    <w:rsid w:val="0031059B"/>
    <w:rsid w:val="003161CE"/>
    <w:rsid w:val="00322C2B"/>
    <w:rsid w:val="003457E7"/>
    <w:rsid w:val="0035585E"/>
    <w:rsid w:val="00367202"/>
    <w:rsid w:val="00367B46"/>
    <w:rsid w:val="00372497"/>
    <w:rsid w:val="003746DA"/>
    <w:rsid w:val="003B4C49"/>
    <w:rsid w:val="003D1AC0"/>
    <w:rsid w:val="003D2251"/>
    <w:rsid w:val="003D70ED"/>
    <w:rsid w:val="003E6F6F"/>
    <w:rsid w:val="003E728C"/>
    <w:rsid w:val="00401F15"/>
    <w:rsid w:val="0040516C"/>
    <w:rsid w:val="004101D1"/>
    <w:rsid w:val="004207F8"/>
    <w:rsid w:val="0043737D"/>
    <w:rsid w:val="0044195D"/>
    <w:rsid w:val="00442332"/>
    <w:rsid w:val="00444287"/>
    <w:rsid w:val="00460CD0"/>
    <w:rsid w:val="00461C7E"/>
    <w:rsid w:val="0046528D"/>
    <w:rsid w:val="004714FA"/>
    <w:rsid w:val="00471867"/>
    <w:rsid w:val="00477777"/>
    <w:rsid w:val="00484791"/>
    <w:rsid w:val="004A363B"/>
    <w:rsid w:val="004B020A"/>
    <w:rsid w:val="004B1070"/>
    <w:rsid w:val="004B4B3A"/>
    <w:rsid w:val="004C405E"/>
    <w:rsid w:val="004D25E0"/>
    <w:rsid w:val="004E1D0E"/>
    <w:rsid w:val="004E2643"/>
    <w:rsid w:val="004E3428"/>
    <w:rsid w:val="004F06C4"/>
    <w:rsid w:val="004F4A29"/>
    <w:rsid w:val="00501BB6"/>
    <w:rsid w:val="00503037"/>
    <w:rsid w:val="00506E0C"/>
    <w:rsid w:val="0053214D"/>
    <w:rsid w:val="00532D1E"/>
    <w:rsid w:val="00545D83"/>
    <w:rsid w:val="00545F06"/>
    <w:rsid w:val="00551A44"/>
    <w:rsid w:val="0057582D"/>
    <w:rsid w:val="00583EBE"/>
    <w:rsid w:val="0059180A"/>
    <w:rsid w:val="00596E7A"/>
    <w:rsid w:val="005A303C"/>
    <w:rsid w:val="005B661B"/>
    <w:rsid w:val="005B710F"/>
    <w:rsid w:val="005C5031"/>
    <w:rsid w:val="005D5C8E"/>
    <w:rsid w:val="005E6151"/>
    <w:rsid w:val="005F447D"/>
    <w:rsid w:val="005F5F95"/>
    <w:rsid w:val="0060219B"/>
    <w:rsid w:val="006215F7"/>
    <w:rsid w:val="00623ACA"/>
    <w:rsid w:val="00635E10"/>
    <w:rsid w:val="006429EA"/>
    <w:rsid w:val="00665833"/>
    <w:rsid w:val="00670005"/>
    <w:rsid w:val="00673974"/>
    <w:rsid w:val="00673AB1"/>
    <w:rsid w:val="006833F8"/>
    <w:rsid w:val="006836B7"/>
    <w:rsid w:val="006A7C5D"/>
    <w:rsid w:val="006D1E24"/>
    <w:rsid w:val="006D4FCD"/>
    <w:rsid w:val="006F006F"/>
    <w:rsid w:val="0070687B"/>
    <w:rsid w:val="0071526D"/>
    <w:rsid w:val="00721F2A"/>
    <w:rsid w:val="0072499A"/>
    <w:rsid w:val="007256C3"/>
    <w:rsid w:val="00740A3D"/>
    <w:rsid w:val="007430C7"/>
    <w:rsid w:val="0078652A"/>
    <w:rsid w:val="00791C56"/>
    <w:rsid w:val="00791DBD"/>
    <w:rsid w:val="007A4DDA"/>
    <w:rsid w:val="007B60F8"/>
    <w:rsid w:val="007C018F"/>
    <w:rsid w:val="007C5544"/>
    <w:rsid w:val="007D2E75"/>
    <w:rsid w:val="007D3D52"/>
    <w:rsid w:val="007E3E49"/>
    <w:rsid w:val="007F2EED"/>
    <w:rsid w:val="007F32B5"/>
    <w:rsid w:val="0080305E"/>
    <w:rsid w:val="00820F14"/>
    <w:rsid w:val="008315CD"/>
    <w:rsid w:val="00841EAC"/>
    <w:rsid w:val="00846611"/>
    <w:rsid w:val="0086265E"/>
    <w:rsid w:val="008628F3"/>
    <w:rsid w:val="00866391"/>
    <w:rsid w:val="008703F4"/>
    <w:rsid w:val="008715F0"/>
    <w:rsid w:val="00875B22"/>
    <w:rsid w:val="00885788"/>
    <w:rsid w:val="00893085"/>
    <w:rsid w:val="008961BB"/>
    <w:rsid w:val="008A0B8E"/>
    <w:rsid w:val="008A3525"/>
    <w:rsid w:val="008C1A6F"/>
    <w:rsid w:val="008C26AE"/>
    <w:rsid w:val="008C5A3E"/>
    <w:rsid w:val="008D5418"/>
    <w:rsid w:val="008E1514"/>
    <w:rsid w:val="008F27C8"/>
    <w:rsid w:val="008F4D7B"/>
    <w:rsid w:val="009141F0"/>
    <w:rsid w:val="00914CE8"/>
    <w:rsid w:val="00922339"/>
    <w:rsid w:val="00925660"/>
    <w:rsid w:val="00965174"/>
    <w:rsid w:val="009741C6"/>
    <w:rsid w:val="0098036D"/>
    <w:rsid w:val="00995ACD"/>
    <w:rsid w:val="009E569B"/>
    <w:rsid w:val="009F061E"/>
    <w:rsid w:val="00A05B82"/>
    <w:rsid w:val="00A13ABA"/>
    <w:rsid w:val="00A14116"/>
    <w:rsid w:val="00A16AC2"/>
    <w:rsid w:val="00A4047A"/>
    <w:rsid w:val="00A52FAD"/>
    <w:rsid w:val="00A55F2A"/>
    <w:rsid w:val="00A609B7"/>
    <w:rsid w:val="00A72557"/>
    <w:rsid w:val="00AB1F2F"/>
    <w:rsid w:val="00AB49DB"/>
    <w:rsid w:val="00AB6F27"/>
    <w:rsid w:val="00AD5025"/>
    <w:rsid w:val="00AE20A0"/>
    <w:rsid w:val="00AE7406"/>
    <w:rsid w:val="00AF04FA"/>
    <w:rsid w:val="00AF528A"/>
    <w:rsid w:val="00AF68C8"/>
    <w:rsid w:val="00B006D2"/>
    <w:rsid w:val="00B04AF6"/>
    <w:rsid w:val="00B056E8"/>
    <w:rsid w:val="00B06D6F"/>
    <w:rsid w:val="00B23653"/>
    <w:rsid w:val="00B30BCD"/>
    <w:rsid w:val="00B339AB"/>
    <w:rsid w:val="00B6137F"/>
    <w:rsid w:val="00B73CC6"/>
    <w:rsid w:val="00B80342"/>
    <w:rsid w:val="00B923F3"/>
    <w:rsid w:val="00BC3ECD"/>
    <w:rsid w:val="00BD24E7"/>
    <w:rsid w:val="00BF160E"/>
    <w:rsid w:val="00C10372"/>
    <w:rsid w:val="00C1643B"/>
    <w:rsid w:val="00C2060F"/>
    <w:rsid w:val="00C46E8E"/>
    <w:rsid w:val="00C56FCC"/>
    <w:rsid w:val="00C57D64"/>
    <w:rsid w:val="00C64E4F"/>
    <w:rsid w:val="00C71384"/>
    <w:rsid w:val="00C7620A"/>
    <w:rsid w:val="00C80109"/>
    <w:rsid w:val="00C900AD"/>
    <w:rsid w:val="00CC1ABF"/>
    <w:rsid w:val="00CC5A74"/>
    <w:rsid w:val="00CC60BF"/>
    <w:rsid w:val="00CC6F5F"/>
    <w:rsid w:val="00CE0346"/>
    <w:rsid w:val="00CE3DA4"/>
    <w:rsid w:val="00CF4990"/>
    <w:rsid w:val="00CF7BA1"/>
    <w:rsid w:val="00D03778"/>
    <w:rsid w:val="00D06FC0"/>
    <w:rsid w:val="00D12886"/>
    <w:rsid w:val="00D2191E"/>
    <w:rsid w:val="00D22271"/>
    <w:rsid w:val="00D309C3"/>
    <w:rsid w:val="00D3595C"/>
    <w:rsid w:val="00D3703E"/>
    <w:rsid w:val="00D40721"/>
    <w:rsid w:val="00D571F8"/>
    <w:rsid w:val="00D651D9"/>
    <w:rsid w:val="00D70A8C"/>
    <w:rsid w:val="00D75F68"/>
    <w:rsid w:val="00D922A6"/>
    <w:rsid w:val="00DC76CF"/>
    <w:rsid w:val="00DD08F3"/>
    <w:rsid w:val="00E14848"/>
    <w:rsid w:val="00E2322F"/>
    <w:rsid w:val="00E27920"/>
    <w:rsid w:val="00E35F28"/>
    <w:rsid w:val="00E35F4F"/>
    <w:rsid w:val="00E36EFE"/>
    <w:rsid w:val="00E70C75"/>
    <w:rsid w:val="00E763CE"/>
    <w:rsid w:val="00EB2CB6"/>
    <w:rsid w:val="00EB3735"/>
    <w:rsid w:val="00ED3317"/>
    <w:rsid w:val="00ED718E"/>
    <w:rsid w:val="00EF5D22"/>
    <w:rsid w:val="00F04556"/>
    <w:rsid w:val="00F153FE"/>
    <w:rsid w:val="00F25F6B"/>
    <w:rsid w:val="00F31E95"/>
    <w:rsid w:val="00F34058"/>
    <w:rsid w:val="00F35C90"/>
    <w:rsid w:val="00F35FB2"/>
    <w:rsid w:val="00F5122A"/>
    <w:rsid w:val="00F60D40"/>
    <w:rsid w:val="00F60E03"/>
    <w:rsid w:val="00FD21A5"/>
    <w:rsid w:val="00FE4DB5"/>
    <w:rsid w:val="00FE5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74FE"/>
  <w15:docId w15:val="{F188F530-6AC8-4899-9BA9-0AB37BE7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D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16A7"/>
    <w:rPr>
      <w:i/>
      <w:iCs/>
      <w:color w:val="808080" w:themeColor="text1" w:themeTint="7F"/>
    </w:rPr>
  </w:style>
  <w:style w:type="paragraph" w:styleId="ListParagraph">
    <w:name w:val="List Paragraph"/>
    <w:basedOn w:val="Normal"/>
    <w:uiPriority w:val="34"/>
    <w:qFormat/>
    <w:rsid w:val="00503037"/>
    <w:pPr>
      <w:ind w:left="720"/>
      <w:contextualSpacing/>
    </w:pPr>
  </w:style>
  <w:style w:type="paragraph" w:styleId="NormalWeb">
    <w:name w:val="Normal (Web)"/>
    <w:basedOn w:val="Normal"/>
    <w:uiPriority w:val="99"/>
    <w:unhideWhenUsed/>
    <w:rsid w:val="00AF04FA"/>
    <w:pPr>
      <w:spacing w:before="100" w:beforeAutospacing="1" w:after="100" w:afterAutospacing="1" w:line="240" w:lineRule="auto"/>
    </w:pPr>
    <w:rPr>
      <w:rFonts w:eastAsiaTheme="minorEastAsia"/>
      <w:sz w:val="24"/>
      <w:szCs w:val="24"/>
    </w:rPr>
  </w:style>
  <w:style w:type="paragraph" w:styleId="Header">
    <w:name w:val="header"/>
    <w:basedOn w:val="Normal"/>
    <w:link w:val="HeaderChar"/>
    <w:uiPriority w:val="99"/>
    <w:unhideWhenUsed/>
    <w:rsid w:val="00C7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0A"/>
    <w:rPr>
      <w:rFonts w:ascii="Times New Roman" w:eastAsia="Calibri" w:hAnsi="Times New Roman" w:cs="Times New Roman"/>
      <w:sz w:val="28"/>
    </w:rPr>
  </w:style>
  <w:style w:type="paragraph" w:styleId="Footer">
    <w:name w:val="footer"/>
    <w:basedOn w:val="Normal"/>
    <w:link w:val="FooterChar"/>
    <w:uiPriority w:val="99"/>
    <w:unhideWhenUsed/>
    <w:rsid w:val="00C7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0A"/>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3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B2"/>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4B1070"/>
    <w:pPr>
      <w:spacing w:after="0" w:line="240" w:lineRule="auto"/>
      <w:ind w:firstLine="567"/>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4B107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B1070"/>
    <w:rPr>
      <w:vertAlign w:val="superscript"/>
    </w:rPr>
  </w:style>
  <w:style w:type="character" w:customStyle="1" w:styleId="BodyTextChar">
    <w:name w:val="Body Text Char"/>
    <w:link w:val="BodyText"/>
    <w:rsid w:val="001322C9"/>
    <w:rPr>
      <w:rFonts w:ascii="Times New Roman" w:eastAsia="Times New Roman" w:hAnsi="Times New Roman" w:cs="Times New Roman"/>
      <w:shd w:val="clear" w:color="auto" w:fill="FFFFFF"/>
    </w:rPr>
  </w:style>
  <w:style w:type="paragraph" w:styleId="BodyText">
    <w:name w:val="Body Text"/>
    <w:basedOn w:val="Normal"/>
    <w:link w:val="BodyTextChar"/>
    <w:qFormat/>
    <w:rsid w:val="001322C9"/>
    <w:pPr>
      <w:widowControl w:val="0"/>
      <w:shd w:val="clear" w:color="auto" w:fill="FFFFFF"/>
      <w:ind w:firstLine="400"/>
    </w:pPr>
    <w:rPr>
      <w:rFonts w:eastAsia="Times New Roman"/>
      <w:sz w:val="22"/>
    </w:rPr>
  </w:style>
  <w:style w:type="character" w:customStyle="1" w:styleId="BodyTextChar1">
    <w:name w:val="Body Text Char1"/>
    <w:basedOn w:val="DefaultParagraphFont"/>
    <w:uiPriority w:val="99"/>
    <w:semiHidden/>
    <w:rsid w:val="001322C9"/>
    <w:rPr>
      <w:rFonts w:ascii="Times New Roman" w:eastAsia="Calibri" w:hAnsi="Times New Roman" w:cs="Times New Roman"/>
      <w:sz w:val="28"/>
    </w:rPr>
  </w:style>
  <w:style w:type="table" w:styleId="TableGrid">
    <w:name w:val="Table Grid"/>
    <w:basedOn w:val="TableNormal"/>
    <w:uiPriority w:val="59"/>
    <w:rsid w:val="00303B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7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F9AF-3AA8-4B2F-A5FA-B41128FA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2</cp:revision>
  <cp:lastPrinted>2023-10-27T02:51:00Z</cp:lastPrinted>
  <dcterms:created xsi:type="dcterms:W3CDTF">2023-10-27T03:03:00Z</dcterms:created>
  <dcterms:modified xsi:type="dcterms:W3CDTF">2023-10-27T03:03:00Z</dcterms:modified>
</cp:coreProperties>
</file>