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1D" w:rsidRPr="00D9236C" w:rsidRDefault="0055701D" w:rsidP="0055701D">
      <w:pPr>
        <w:widowControl w:val="0"/>
        <w:spacing w:before="60" w:after="60" w:line="264" w:lineRule="auto"/>
        <w:ind w:firstLine="420"/>
        <w:jc w:val="center"/>
        <w:rPr>
          <w:b/>
          <w:bCs/>
          <w:sz w:val="2"/>
          <w:lang w:val="nl-NL"/>
        </w:rPr>
      </w:pPr>
    </w:p>
    <w:tbl>
      <w:tblPr>
        <w:tblW w:w="10091" w:type="dxa"/>
        <w:tblInd w:w="-172" w:type="dxa"/>
        <w:tblLayout w:type="fixed"/>
        <w:tblLook w:val="0000"/>
      </w:tblPr>
      <w:tblGrid>
        <w:gridCol w:w="3206"/>
        <w:gridCol w:w="236"/>
        <w:gridCol w:w="5389"/>
        <w:gridCol w:w="269"/>
        <w:gridCol w:w="991"/>
      </w:tblGrid>
      <w:tr w:rsidR="00D9236C" w:rsidRPr="00D9236C" w:rsidTr="007B7A34">
        <w:trPr>
          <w:gridAfter w:val="1"/>
          <w:wAfter w:w="991" w:type="dxa"/>
        </w:trPr>
        <w:tc>
          <w:tcPr>
            <w:tcW w:w="3206" w:type="dxa"/>
          </w:tcPr>
          <w:p w:rsidR="0055701D" w:rsidRPr="00D9236C" w:rsidRDefault="0055701D" w:rsidP="002532E6">
            <w:pPr>
              <w:pStyle w:val="Heading7"/>
              <w:keepNext w:val="0"/>
              <w:widowControl w:val="0"/>
              <w:jc w:val="center"/>
              <w:rPr>
                <w:rFonts w:cs="Times New Roman"/>
                <w:b/>
                <w:bCs/>
                <w:color w:val="auto"/>
                <w:szCs w:val="26"/>
                <w:lang w:val="nl-NL"/>
              </w:rPr>
            </w:pPr>
            <w:r w:rsidRPr="00D9236C">
              <w:rPr>
                <w:rFonts w:cs="Times New Roman"/>
                <w:b/>
                <w:bCs/>
                <w:color w:val="auto"/>
              </w:rPr>
              <w:br w:type="page"/>
            </w:r>
            <w:r w:rsidRPr="00D9236C">
              <w:rPr>
                <w:rFonts w:cs="Times New Roman"/>
                <w:b/>
                <w:bCs/>
                <w:color w:val="auto"/>
                <w:lang w:val="nl-NL"/>
              </w:rPr>
              <w:br w:type="column"/>
            </w:r>
            <w:r w:rsidRPr="00D9236C">
              <w:rPr>
                <w:rFonts w:cs="Times New Roman"/>
                <w:b/>
                <w:bCs/>
                <w:color w:val="auto"/>
                <w:lang w:val="nl-NL"/>
              </w:rPr>
              <w:br w:type="column"/>
            </w:r>
            <w:r w:rsidRPr="00D9236C">
              <w:rPr>
                <w:rFonts w:cs="Times New Roman"/>
                <w:b/>
                <w:bCs/>
                <w:color w:val="auto"/>
                <w:lang w:val="nl-NL"/>
              </w:rPr>
              <w:br w:type="column"/>
            </w:r>
            <w:r w:rsidRPr="00D9236C">
              <w:rPr>
                <w:rFonts w:cs="Times New Roman"/>
                <w:b/>
                <w:bCs/>
                <w:color w:val="auto"/>
                <w:lang w:val="nl-NL"/>
              </w:rPr>
              <w:br w:type="column"/>
            </w:r>
            <w:r w:rsidRPr="00D9236C">
              <w:rPr>
                <w:rFonts w:cs="Times New Roman"/>
                <w:b/>
                <w:bCs/>
                <w:color w:val="auto"/>
                <w:lang w:val="nl-NL"/>
              </w:rPr>
              <w:br w:type="page"/>
            </w:r>
            <w:r w:rsidRPr="00D9236C">
              <w:rPr>
                <w:rFonts w:cs="Times New Roman"/>
                <w:b/>
                <w:bCs/>
                <w:color w:val="auto"/>
                <w:lang w:val="nl-NL"/>
              </w:rPr>
              <w:br w:type="column"/>
            </w:r>
            <w:r w:rsidRPr="00D9236C">
              <w:rPr>
                <w:rFonts w:cs="Times New Roman"/>
                <w:b/>
                <w:bCs/>
                <w:color w:val="auto"/>
                <w:lang w:val="nl-NL"/>
              </w:rPr>
              <w:br w:type="column"/>
            </w:r>
            <w:r w:rsidRPr="00D9236C">
              <w:rPr>
                <w:rFonts w:cs="Times New Roman"/>
                <w:b/>
                <w:bCs/>
                <w:color w:val="auto"/>
                <w:szCs w:val="26"/>
                <w:lang w:val="nl-NL"/>
              </w:rPr>
              <w:t>BỘ TÀI CHÍNH</w:t>
            </w:r>
          </w:p>
          <w:p w:rsidR="0055701D" w:rsidRPr="00D9236C" w:rsidRDefault="0055701D" w:rsidP="007B7A34">
            <w:pPr>
              <w:widowControl w:val="0"/>
              <w:jc w:val="center"/>
              <w:rPr>
                <w:b/>
                <w:bCs/>
                <w:lang w:val="nl-NL"/>
              </w:rPr>
            </w:pPr>
            <w:r w:rsidRPr="00D9236C">
              <w:rPr>
                <w:b/>
                <w:bCs/>
                <w:vertAlign w:val="superscript"/>
                <w:lang w:val="nl-NL"/>
              </w:rPr>
              <w:t>_________</w:t>
            </w:r>
          </w:p>
        </w:tc>
        <w:tc>
          <w:tcPr>
            <w:tcW w:w="236" w:type="dxa"/>
          </w:tcPr>
          <w:p w:rsidR="0055701D" w:rsidRPr="00D9236C" w:rsidRDefault="0055701D" w:rsidP="007B7A34">
            <w:pPr>
              <w:widowControl w:val="0"/>
              <w:jc w:val="center"/>
              <w:rPr>
                <w:b/>
                <w:bCs/>
                <w:sz w:val="26"/>
                <w:lang w:val="nl-NL"/>
              </w:rPr>
            </w:pPr>
          </w:p>
        </w:tc>
        <w:tc>
          <w:tcPr>
            <w:tcW w:w="5658" w:type="dxa"/>
            <w:gridSpan w:val="2"/>
          </w:tcPr>
          <w:p w:rsidR="0055701D" w:rsidRPr="00D9236C" w:rsidRDefault="0055701D" w:rsidP="007B7A34">
            <w:pPr>
              <w:widowControl w:val="0"/>
              <w:jc w:val="center"/>
              <w:rPr>
                <w:b/>
                <w:bCs/>
                <w:sz w:val="26"/>
                <w:szCs w:val="26"/>
                <w:lang w:val="nl-NL"/>
              </w:rPr>
            </w:pPr>
            <w:r w:rsidRPr="00D9236C">
              <w:rPr>
                <w:b/>
                <w:bCs/>
                <w:sz w:val="26"/>
                <w:szCs w:val="26"/>
                <w:lang w:val="nl-NL"/>
              </w:rPr>
              <w:t>CỘNG HOÀ XÃ HỘI CHỦ NGHĨA VIỆT NAM</w:t>
            </w:r>
          </w:p>
          <w:p w:rsidR="0055701D" w:rsidRPr="00D9236C" w:rsidRDefault="0055701D" w:rsidP="007B7A34">
            <w:pPr>
              <w:widowControl w:val="0"/>
              <w:jc w:val="center"/>
              <w:rPr>
                <w:b/>
                <w:bCs/>
                <w:lang w:val="nl-NL"/>
              </w:rPr>
            </w:pPr>
            <w:r w:rsidRPr="00D9236C">
              <w:rPr>
                <w:b/>
                <w:bCs/>
                <w:lang w:val="nl-NL"/>
              </w:rPr>
              <w:t>Độc lập - Tự do - Hạnh phúc</w:t>
            </w:r>
          </w:p>
        </w:tc>
      </w:tr>
      <w:tr w:rsidR="00D9236C" w:rsidRPr="00D9236C" w:rsidTr="007B7A34">
        <w:tc>
          <w:tcPr>
            <w:tcW w:w="3206" w:type="dxa"/>
          </w:tcPr>
          <w:p w:rsidR="0055701D" w:rsidRPr="00D9236C" w:rsidRDefault="0055701D" w:rsidP="007B7A34">
            <w:pPr>
              <w:widowControl w:val="0"/>
              <w:jc w:val="center"/>
              <w:rPr>
                <w:b/>
                <w:sz w:val="24"/>
                <w:szCs w:val="24"/>
                <w:lang w:val="nl-NL"/>
              </w:rPr>
            </w:pPr>
          </w:p>
        </w:tc>
        <w:tc>
          <w:tcPr>
            <w:tcW w:w="236" w:type="dxa"/>
          </w:tcPr>
          <w:p w:rsidR="0055701D" w:rsidRPr="00D9236C" w:rsidRDefault="0055701D" w:rsidP="007B7A34">
            <w:pPr>
              <w:widowControl w:val="0"/>
              <w:jc w:val="center"/>
              <w:rPr>
                <w:sz w:val="26"/>
                <w:lang w:val="nl-NL"/>
              </w:rPr>
            </w:pPr>
          </w:p>
        </w:tc>
        <w:tc>
          <w:tcPr>
            <w:tcW w:w="5389" w:type="dxa"/>
          </w:tcPr>
          <w:p w:rsidR="0055701D" w:rsidRPr="00D9236C" w:rsidRDefault="0055701D" w:rsidP="007B7A34">
            <w:pPr>
              <w:widowControl w:val="0"/>
              <w:ind w:left="288"/>
              <w:jc w:val="center"/>
              <w:rPr>
                <w:b/>
                <w:sz w:val="22"/>
                <w:lang w:val="nl-NL"/>
              </w:rPr>
            </w:pPr>
            <w:r w:rsidRPr="00D9236C">
              <w:rPr>
                <w:b/>
                <w:sz w:val="22"/>
                <w:vertAlign w:val="superscript"/>
                <w:lang w:val="nl-NL"/>
              </w:rPr>
              <w:t>________________________________________________</w:t>
            </w:r>
          </w:p>
        </w:tc>
        <w:tc>
          <w:tcPr>
            <w:tcW w:w="1260" w:type="dxa"/>
            <w:gridSpan w:val="2"/>
          </w:tcPr>
          <w:p w:rsidR="0055701D" w:rsidRPr="00D9236C" w:rsidRDefault="0055701D" w:rsidP="007B7A34">
            <w:pPr>
              <w:widowControl w:val="0"/>
              <w:rPr>
                <w:sz w:val="14"/>
                <w:lang w:val="nl-NL"/>
              </w:rPr>
            </w:pPr>
          </w:p>
        </w:tc>
      </w:tr>
      <w:tr w:rsidR="00D9236C" w:rsidRPr="00D9236C" w:rsidTr="007B7A34">
        <w:trPr>
          <w:gridAfter w:val="1"/>
          <w:wAfter w:w="991" w:type="dxa"/>
        </w:trPr>
        <w:tc>
          <w:tcPr>
            <w:tcW w:w="3206" w:type="dxa"/>
          </w:tcPr>
          <w:p w:rsidR="0055701D" w:rsidRPr="00D9236C" w:rsidRDefault="0055701D" w:rsidP="007B7A34">
            <w:pPr>
              <w:widowControl w:val="0"/>
              <w:jc w:val="center"/>
              <w:rPr>
                <w:lang w:val="nl-NL"/>
              </w:rPr>
            </w:pPr>
          </w:p>
        </w:tc>
        <w:tc>
          <w:tcPr>
            <w:tcW w:w="236" w:type="dxa"/>
          </w:tcPr>
          <w:p w:rsidR="0055701D" w:rsidRPr="00D9236C" w:rsidRDefault="0055701D" w:rsidP="007B7A34">
            <w:pPr>
              <w:widowControl w:val="0"/>
              <w:jc w:val="center"/>
              <w:rPr>
                <w:sz w:val="26"/>
                <w:lang w:val="nl-NL"/>
              </w:rPr>
            </w:pPr>
          </w:p>
        </w:tc>
        <w:tc>
          <w:tcPr>
            <w:tcW w:w="5658" w:type="dxa"/>
            <w:gridSpan w:val="2"/>
          </w:tcPr>
          <w:p w:rsidR="0055701D" w:rsidRPr="00D9236C" w:rsidRDefault="0055701D" w:rsidP="007B7A34">
            <w:pPr>
              <w:widowControl w:val="0"/>
              <w:jc w:val="center"/>
              <w:rPr>
                <w:b/>
                <w:lang w:val="nl-NL"/>
              </w:rPr>
            </w:pPr>
            <w:r w:rsidRPr="00D9236C">
              <w:rPr>
                <w:i/>
                <w:lang w:val="nl-NL"/>
              </w:rPr>
              <w:t>Hà Nội, ngày     tháng     năm 202</w:t>
            </w:r>
            <w:r w:rsidR="00501C1B">
              <w:rPr>
                <w:i/>
                <w:lang w:val="nl-NL"/>
              </w:rPr>
              <w:t>5</w:t>
            </w:r>
          </w:p>
        </w:tc>
      </w:tr>
    </w:tbl>
    <w:p w:rsidR="0055701D" w:rsidRPr="00D9236C" w:rsidRDefault="0055701D" w:rsidP="0055701D">
      <w:pPr>
        <w:widowControl w:val="0"/>
        <w:jc w:val="both"/>
        <w:rPr>
          <w:b/>
          <w:lang w:val="nl-NL"/>
        </w:rPr>
      </w:pPr>
    </w:p>
    <w:p w:rsidR="0055701D" w:rsidRPr="00D9236C" w:rsidRDefault="0055701D" w:rsidP="0055701D">
      <w:pPr>
        <w:widowControl w:val="0"/>
        <w:jc w:val="center"/>
        <w:rPr>
          <w:b/>
          <w:sz w:val="20"/>
          <w:lang w:val="nl-NL"/>
        </w:rPr>
      </w:pPr>
    </w:p>
    <w:p w:rsidR="0055701D" w:rsidRPr="00D9236C" w:rsidRDefault="0055701D" w:rsidP="0055701D">
      <w:pPr>
        <w:widowControl w:val="0"/>
        <w:jc w:val="center"/>
        <w:rPr>
          <w:b/>
          <w:sz w:val="26"/>
          <w:szCs w:val="26"/>
          <w:lang w:val="nl-NL"/>
        </w:rPr>
      </w:pPr>
      <w:r w:rsidRPr="00D9236C">
        <w:rPr>
          <w:b/>
          <w:sz w:val="26"/>
          <w:szCs w:val="26"/>
          <w:lang w:val="nl-NL"/>
        </w:rPr>
        <w:t>ĐỀ ÁN</w:t>
      </w:r>
    </w:p>
    <w:p w:rsidR="0055701D" w:rsidRPr="00D9236C" w:rsidRDefault="0055701D" w:rsidP="00ED1B19">
      <w:pPr>
        <w:widowControl w:val="0"/>
        <w:jc w:val="center"/>
        <w:rPr>
          <w:b/>
          <w:sz w:val="14"/>
          <w:lang w:val="nl-NL"/>
        </w:rPr>
      </w:pPr>
    </w:p>
    <w:p w:rsidR="006E3BFA" w:rsidRPr="00D9236C" w:rsidRDefault="00D9236C" w:rsidP="00A9285D">
      <w:pPr>
        <w:widowControl w:val="0"/>
        <w:tabs>
          <w:tab w:val="left" w:pos="1276"/>
        </w:tabs>
        <w:ind w:firstLine="180"/>
        <w:jc w:val="center"/>
        <w:rPr>
          <w:b/>
          <w:lang w:val="nl-NL"/>
        </w:rPr>
      </w:pPr>
      <w:r w:rsidRPr="00D9236C">
        <w:rPr>
          <w:b/>
          <w:lang w:val="nl-NL"/>
        </w:rPr>
        <w:t xml:space="preserve">Nghiên cứu định chế tài chính </w:t>
      </w:r>
      <w:r w:rsidR="00A9285D">
        <w:rPr>
          <w:b/>
          <w:lang w:val="nl-NL"/>
        </w:rPr>
        <w:t>phục vụ</w:t>
      </w:r>
      <w:r w:rsidRPr="00D9236C">
        <w:rPr>
          <w:b/>
          <w:lang w:val="nl-NL"/>
        </w:rPr>
        <w:t xml:space="preserve"> phát triển nhà ở xã hội dài hạn, bền vững</w:t>
      </w:r>
    </w:p>
    <w:p w:rsidR="0055701D" w:rsidRPr="00D9236C" w:rsidRDefault="00F549F6" w:rsidP="0055701D">
      <w:pPr>
        <w:widowControl w:val="0"/>
        <w:jc w:val="center"/>
        <w:rPr>
          <w:b/>
          <w:lang w:val="nl-NL"/>
        </w:rPr>
      </w:pPr>
      <w:r w:rsidRPr="00F549F6">
        <w:rPr>
          <w:b/>
        </w:rPr>
        <w:pict>
          <v:line id="Straight Connector 1" o:spid="_x0000_s1026" style="position:absolute;left:0;text-align:left;z-index:251659264;visibility:visible;mso-wrap-distance-top:-3e-5mm;mso-wrap-distance-bottom:-3e-5mm" from="154pt,10.3pt" to="3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"/>
        </w:pict>
      </w:r>
      <w:r w:rsidR="0055701D" w:rsidRPr="00D9236C">
        <w:rPr>
          <w:b/>
          <w:lang w:val="nl-NL"/>
        </w:rPr>
        <w:t xml:space="preserve">  </w:t>
      </w:r>
    </w:p>
    <w:p w:rsidR="0055701D" w:rsidRPr="00D9236C" w:rsidRDefault="0055701D" w:rsidP="0055701D">
      <w:pPr>
        <w:widowControl w:val="0"/>
        <w:jc w:val="center"/>
        <w:rPr>
          <w:b/>
          <w:sz w:val="14"/>
          <w:lang w:val="nl-NL"/>
        </w:rPr>
      </w:pPr>
    </w:p>
    <w:p w:rsidR="0055701D" w:rsidRPr="00D9236C" w:rsidRDefault="0055701D" w:rsidP="0055701D">
      <w:pPr>
        <w:widowControl w:val="0"/>
        <w:ind w:firstLine="720"/>
        <w:jc w:val="both"/>
        <w:rPr>
          <w:sz w:val="10"/>
          <w:lang w:val="nl-NL"/>
        </w:rPr>
      </w:pPr>
    </w:p>
    <w:p w:rsidR="00D9236C" w:rsidRPr="0086270C" w:rsidRDefault="00D9236C" w:rsidP="0086270C">
      <w:pPr>
        <w:widowControl w:val="0"/>
        <w:spacing w:before="120" w:after="120" w:line="360" w:lineRule="exact"/>
        <w:ind w:firstLine="720"/>
        <w:jc w:val="both"/>
        <w:rPr>
          <w:lang w:val="en-US"/>
        </w:rPr>
      </w:pPr>
      <w:r w:rsidRPr="0086270C">
        <w:rPr>
          <w:lang w:val="vi-VN"/>
        </w:rPr>
        <w:t>Triển khai Chỉ thị số 34-CT/TW ngày 24/5/2024 của Ban Bí thư về tăng cường sự lãnh đạo của Đảng đối với công tác phát triển nhà ở xã hội trong tình hình mới, Thủ tướng Chính phủ đã ban hành Quyết định số 9</w:t>
      </w:r>
      <w:r w:rsidRPr="0086270C">
        <w:rPr>
          <w:lang w:val="en-US"/>
        </w:rPr>
        <w:t>2</w:t>
      </w:r>
      <w:r w:rsidRPr="0086270C">
        <w:rPr>
          <w:lang w:val="vi-VN"/>
        </w:rPr>
        <w:t>7/QĐ-TTg ngày 30/8/2024 về kế hoạch triển khai thực hiện Chỉ thị số 34-CT/TW</w:t>
      </w:r>
      <w:r w:rsidR="00906621">
        <w:rPr>
          <w:lang w:val="en-US"/>
        </w:rPr>
        <w:t>, trong</w:t>
      </w:r>
      <w:r w:rsidR="00906621">
        <w:rPr>
          <w:lang w:val="vi-VN"/>
        </w:rPr>
        <w:t xml:space="preserve"> đó</w:t>
      </w:r>
      <w:r w:rsidRPr="0086270C">
        <w:rPr>
          <w:lang w:val="vi-VN"/>
        </w:rPr>
        <w:t xml:space="preserve"> Bộ Tài chính được giao chủ trì, phối hợp với các bộ, cơ quan liên quan và địa phương “Nghiên cứu hình thành quỹ phát triển nhà ở xã hội hoặc mô hình định chế tài chính phù hợp để phát triển nhà ở xã hội dài hạn, bền vững”. </w:t>
      </w:r>
    </w:p>
    <w:p w:rsidR="006E3BFA" w:rsidRPr="0086270C" w:rsidRDefault="0055701D" w:rsidP="0086270C">
      <w:pPr>
        <w:widowControl w:val="0"/>
        <w:spacing w:before="120" w:after="120" w:line="360" w:lineRule="exact"/>
        <w:ind w:firstLine="720"/>
        <w:jc w:val="both"/>
        <w:rPr>
          <w:lang w:val="nl-NL"/>
        </w:rPr>
      </w:pPr>
      <w:r w:rsidRPr="0086270C">
        <w:rPr>
          <w:lang w:val="nl-NL"/>
        </w:rPr>
        <w:t>T</w:t>
      </w:r>
      <w:r w:rsidR="00906621">
        <w:rPr>
          <w:lang w:val="vi-VN"/>
        </w:rPr>
        <w:t>hực hiện chỉ đạo của Thủ tướng Chính phủ, Bộ Tài chính đã dự thảo báo cáo về việc nghiên cứu định chế tài chính cho phát triển nhà ở xã hội dài hạn, bền vững. Sau khi lấy và</w:t>
      </w:r>
      <w:r w:rsidRPr="0086270C">
        <w:rPr>
          <w:lang w:val="nl-NL"/>
        </w:rPr>
        <w:t xml:space="preserve"> tổng hợp ý kiến của </w:t>
      </w:r>
      <w:r w:rsidR="00D9236C" w:rsidRPr="0086270C">
        <w:rPr>
          <w:lang w:val="nl-NL"/>
        </w:rPr>
        <w:t xml:space="preserve">các Bộ, ngành (Bộ Xây dựng, Ngân hàng Nhà nước Việt Nam, Bộ Kế hoạch và Đầu tư), </w:t>
      </w:r>
      <w:r w:rsidR="00906621">
        <w:rPr>
          <w:lang w:val="vi-VN"/>
        </w:rPr>
        <w:t>Ngân hàng Chính sách xã hội, Ngân hàng Phát triển Việt Nam</w:t>
      </w:r>
      <w:r w:rsidR="00D9236C" w:rsidRPr="0086270C">
        <w:rPr>
          <w:lang w:val="nl-NL"/>
        </w:rPr>
        <w:t xml:space="preserve"> và một số địa phương</w:t>
      </w:r>
      <w:r w:rsidR="00906621">
        <w:rPr>
          <w:lang w:val="vi-VN"/>
        </w:rPr>
        <w:t xml:space="preserve"> (</w:t>
      </w:r>
      <w:r w:rsidR="00E9342B">
        <w:rPr>
          <w:lang w:val="en-US"/>
        </w:rPr>
        <w:t xml:space="preserve">Thành phố Hà Nội, </w:t>
      </w:r>
      <w:r w:rsidR="00906621">
        <w:rPr>
          <w:lang w:val="vi-VN"/>
        </w:rPr>
        <w:t>Thành phố Hồ Chí Minh</w:t>
      </w:r>
      <w:r w:rsidR="00E9342B">
        <w:rPr>
          <w:lang w:val="en-US"/>
        </w:rPr>
        <w:t xml:space="preserve">, </w:t>
      </w:r>
      <w:r w:rsidR="00574F26">
        <w:rPr>
          <w:lang w:val="en-US"/>
        </w:rPr>
        <w:t xml:space="preserve">các tỉnh: </w:t>
      </w:r>
      <w:r w:rsidR="00E9342B">
        <w:rPr>
          <w:lang w:val="vi-VN"/>
        </w:rPr>
        <w:t>Bắc Ninh</w:t>
      </w:r>
      <w:r w:rsidR="00E9342B" w:rsidRPr="0086270C">
        <w:rPr>
          <w:lang w:val="nl-NL"/>
        </w:rPr>
        <w:t>,</w:t>
      </w:r>
      <w:r w:rsidR="00E9342B">
        <w:rPr>
          <w:lang w:val="nl-NL"/>
        </w:rPr>
        <w:t xml:space="preserve"> Bắc Giang, Đồng Nai, Bình Dương</w:t>
      </w:r>
      <w:r w:rsidR="00906621">
        <w:rPr>
          <w:lang w:val="vi-VN"/>
        </w:rPr>
        <w:t>)</w:t>
      </w:r>
      <w:r w:rsidRPr="0086270C">
        <w:rPr>
          <w:lang w:val="nl-NL"/>
        </w:rPr>
        <w:t xml:space="preserve"> Bộ Tài chính</w:t>
      </w:r>
      <w:r w:rsidR="00906621">
        <w:rPr>
          <w:lang w:val="vi-VN"/>
        </w:rPr>
        <w:t xml:space="preserve"> tổng hợp,</w:t>
      </w:r>
      <w:r w:rsidRPr="0086270C">
        <w:rPr>
          <w:lang w:val="nl-NL"/>
        </w:rPr>
        <w:t xml:space="preserve"> báo cáo Thủ tướng Chính phủ Đề án </w:t>
      </w:r>
      <w:r w:rsidR="00D9236C" w:rsidRPr="0086270C">
        <w:t xml:space="preserve">nghiên cứu định chế tài chính </w:t>
      </w:r>
      <w:r w:rsidR="00574F26">
        <w:t>phục vụ</w:t>
      </w:r>
      <w:r w:rsidR="00D9236C" w:rsidRPr="0086270C">
        <w:t xml:space="preserve"> phát triển nhà ở xã hội</w:t>
      </w:r>
      <w:r w:rsidRPr="0086270C">
        <w:rPr>
          <w:lang w:val="nl-NL"/>
        </w:rPr>
        <w:t xml:space="preserve"> như sau:</w:t>
      </w:r>
    </w:p>
    <w:p w:rsidR="006E3BFA" w:rsidRPr="0086270C" w:rsidRDefault="0055701D" w:rsidP="0086270C">
      <w:pPr>
        <w:pStyle w:val="Heading1"/>
        <w:spacing w:before="120" w:after="120" w:line="360" w:lineRule="exact"/>
        <w:rPr>
          <w:color w:val="auto"/>
        </w:rPr>
      </w:pPr>
      <w:r w:rsidRPr="0086270C">
        <w:rPr>
          <w:color w:val="auto"/>
        </w:rPr>
        <w:t xml:space="preserve">I. </w:t>
      </w:r>
      <w:r w:rsidR="00D9236C" w:rsidRPr="0086270C">
        <w:rPr>
          <w:color w:val="auto"/>
        </w:rPr>
        <w:t>CĂN CỨ XÂY DỰNG ĐỀ ÁN</w:t>
      </w:r>
    </w:p>
    <w:p w:rsidR="00D9236C" w:rsidRPr="0086270C" w:rsidRDefault="00D9236C" w:rsidP="0086270C">
      <w:pPr>
        <w:widowControl w:val="0"/>
        <w:spacing w:before="120" w:after="120" w:line="360" w:lineRule="exact"/>
        <w:ind w:firstLine="720"/>
        <w:jc w:val="both"/>
        <w:rPr>
          <w:b/>
          <w:lang w:val="nl-NL"/>
        </w:rPr>
      </w:pPr>
      <w:r w:rsidRPr="0086270C">
        <w:rPr>
          <w:b/>
          <w:lang w:val="nl-NL"/>
        </w:rPr>
        <w:t>1. Cơ sở chính trị</w:t>
      </w:r>
    </w:p>
    <w:p w:rsidR="00D9236C" w:rsidRPr="0086270C" w:rsidRDefault="00D9236C" w:rsidP="0086270C">
      <w:pPr>
        <w:pStyle w:val="NormalWeb"/>
        <w:shd w:val="clear" w:color="auto" w:fill="FFFFFF"/>
        <w:spacing w:before="120" w:beforeAutospacing="0" w:after="120" w:afterAutospacing="0" w:line="360" w:lineRule="exact"/>
        <w:ind w:firstLine="720"/>
        <w:jc w:val="both"/>
        <w:rPr>
          <w:sz w:val="28"/>
          <w:szCs w:val="28"/>
          <w:lang w:val="fr-FR"/>
        </w:rPr>
      </w:pPr>
      <w:r w:rsidRPr="0086270C">
        <w:rPr>
          <w:spacing w:val="-2"/>
          <w:sz w:val="28"/>
          <w:szCs w:val="28"/>
          <w:lang w:val="fr-FR"/>
        </w:rPr>
        <w:t xml:space="preserve">- </w:t>
      </w:r>
      <w:r w:rsidRPr="0086270C">
        <w:rPr>
          <w:sz w:val="28"/>
          <w:szCs w:val="28"/>
          <w:lang w:val="fr-FR"/>
        </w:rPr>
        <w:t>Tại Nghị quyết số 06-NQ/TW ngày 24/01/2022 của Bộ Chính trị về quy hoạch, xây dựng, quản lý và phát triển bền vững đô thị Việt Nam đến năm 2030, tầm nhìn đến năm 2045, chủ trương:</w:t>
      </w:r>
      <w:r w:rsidRPr="0086270C">
        <w:rPr>
          <w:i/>
          <w:sz w:val="28"/>
          <w:szCs w:val="28"/>
          <w:shd w:val="clear" w:color="auto" w:fill="FFFFFF"/>
          <w:lang w:val="fr-FR"/>
        </w:rPr>
        <w:t xml:space="preserve"> </w:t>
      </w:r>
      <w:r w:rsidRPr="0086270C">
        <w:rPr>
          <w:bCs/>
          <w:i/>
          <w:sz w:val="28"/>
          <w:szCs w:val="28"/>
          <w:shd w:val="clear" w:color="auto" w:fill="FFFFFF"/>
          <w:lang w:val="fr-FR"/>
        </w:rPr>
        <w:t xml:space="preserve">Bố trí nguồn vốn ngân sách nhà nước tương xứng </w:t>
      </w:r>
      <w:r w:rsidRPr="0086270C">
        <w:rPr>
          <w:i/>
          <w:sz w:val="28"/>
          <w:szCs w:val="28"/>
          <w:shd w:val="clear" w:color="auto" w:fill="FFFFFF"/>
          <w:lang w:val="fr-FR"/>
        </w:rPr>
        <w:t xml:space="preserve">để bảo đảm thực hiện các mục tiêu của chính sách an sinh nhà ở. </w:t>
      </w:r>
      <w:r w:rsidRPr="0086270C">
        <w:rPr>
          <w:b/>
          <w:bCs/>
          <w:i/>
          <w:sz w:val="28"/>
          <w:szCs w:val="28"/>
          <w:shd w:val="clear" w:color="auto" w:fill="FFFFFF"/>
          <w:lang w:val="fr-FR"/>
        </w:rPr>
        <w:t>Rà soát, hoàn thiện các chính sách hỗ trợ, ưu đãi, thủ tục hành chính về nhà ở xã hội</w:t>
      </w:r>
      <w:r w:rsidRPr="0086270C">
        <w:rPr>
          <w:i/>
          <w:sz w:val="28"/>
          <w:szCs w:val="28"/>
          <w:shd w:val="clear" w:color="auto" w:fill="FFFFFF"/>
          <w:lang w:val="fr-FR"/>
        </w:rPr>
        <w:t xml:space="preserve">. Tạo lập hành lang pháp lý và cơ chế khuyến khích hình thành và </w:t>
      </w:r>
      <w:r w:rsidRPr="0086270C">
        <w:rPr>
          <w:bCs/>
          <w:i/>
          <w:sz w:val="28"/>
          <w:szCs w:val="28"/>
          <w:shd w:val="clear" w:color="auto" w:fill="FFFFFF"/>
          <w:lang w:val="fr-FR"/>
        </w:rPr>
        <w:t>phát triển các quỹ</w:t>
      </w:r>
      <w:r w:rsidRPr="0086270C">
        <w:rPr>
          <w:i/>
          <w:sz w:val="28"/>
          <w:szCs w:val="28"/>
          <w:shd w:val="clear" w:color="auto" w:fill="FFFFFF"/>
          <w:lang w:val="fr-FR"/>
        </w:rPr>
        <w:t xml:space="preserve"> cho phát triển nhà ở và bất động sản; </w:t>
      </w:r>
      <w:r w:rsidRPr="0086270C">
        <w:rPr>
          <w:b/>
          <w:bCs/>
          <w:i/>
          <w:sz w:val="28"/>
          <w:szCs w:val="28"/>
          <w:shd w:val="clear" w:color="auto" w:fill="FFFFFF"/>
          <w:lang w:val="fr-FR"/>
        </w:rPr>
        <w:t>có chính sách ưu đãi, khuyến khích đủ mạnh để thu hút nguồn lực xã hội đầu tư xây dựng nhà ở, nhà cho thuê đối với người thu nhập thấp, thu nhập trung bình</w:t>
      </w:r>
      <w:r w:rsidRPr="0086270C">
        <w:rPr>
          <w:i/>
          <w:sz w:val="28"/>
          <w:szCs w:val="28"/>
          <w:lang w:val="fr-FR"/>
        </w:rPr>
        <w:t>;</w:t>
      </w:r>
    </w:p>
    <w:p w:rsidR="00D9236C" w:rsidRPr="0086270C" w:rsidRDefault="00D9236C" w:rsidP="0086270C">
      <w:pPr>
        <w:pStyle w:val="NormalWeb"/>
        <w:shd w:val="clear" w:color="auto" w:fill="FFFFFF"/>
        <w:spacing w:before="120" w:beforeAutospacing="0" w:after="120" w:afterAutospacing="0" w:line="360" w:lineRule="exact"/>
        <w:ind w:firstLine="720"/>
        <w:jc w:val="both"/>
        <w:rPr>
          <w:i/>
          <w:sz w:val="28"/>
          <w:szCs w:val="28"/>
          <w:lang w:val="fr-FR"/>
        </w:rPr>
      </w:pPr>
      <w:r w:rsidRPr="0086270C">
        <w:rPr>
          <w:sz w:val="28"/>
          <w:szCs w:val="28"/>
          <w:lang w:val="fr-FR"/>
        </w:rPr>
        <w:t>- Tại Chỉ thị số 34-CT/TW</w:t>
      </w:r>
      <w:r w:rsidR="008737C4" w:rsidRPr="008737C4">
        <w:rPr>
          <w:lang w:val="vi-VN"/>
        </w:rPr>
        <w:t xml:space="preserve"> </w:t>
      </w:r>
      <w:r w:rsidR="008737C4" w:rsidRPr="008737C4">
        <w:rPr>
          <w:sz w:val="28"/>
          <w:szCs w:val="28"/>
          <w:lang w:val="vi-VN"/>
        </w:rPr>
        <w:t xml:space="preserve">ngày 24/5/2024 của Ban Bí thư về tăng cường sự lãnh đạo của Đảng đối với công tác phát triển nhà ở xã hội trong tình hình </w:t>
      </w:r>
      <w:r w:rsidR="008737C4" w:rsidRPr="008737C4">
        <w:rPr>
          <w:sz w:val="28"/>
          <w:szCs w:val="28"/>
          <w:lang w:val="vi-VN"/>
        </w:rPr>
        <w:lastRenderedPageBreak/>
        <w:t>mới</w:t>
      </w:r>
      <w:r w:rsidRPr="008737C4">
        <w:rPr>
          <w:sz w:val="28"/>
          <w:szCs w:val="28"/>
          <w:lang w:val="fr-FR"/>
        </w:rPr>
        <w:t>,</w:t>
      </w:r>
      <w:r w:rsidRPr="0086270C">
        <w:rPr>
          <w:sz w:val="28"/>
          <w:szCs w:val="28"/>
          <w:lang w:val="fr-FR"/>
        </w:rPr>
        <w:t xml:space="preserve"> Ban Bí thư yêu cầu: </w:t>
      </w:r>
      <w:r w:rsidRPr="0086270C">
        <w:rPr>
          <w:i/>
          <w:sz w:val="28"/>
          <w:szCs w:val="28"/>
          <w:lang w:val="fr-FR"/>
        </w:rPr>
        <w:t xml:space="preserve">Huy động và sử dụng hiệu quả các nguồn vốn cho phát triển nhà ở xã hội; ưu tiên bố trí nguồn vốn ngân sách nhà nước từ Trung ương và địa phương tương xứng, kịp thời để bảo đảm thực hiện các mục tiêu phát triển nhà ở xã hội. Nghiên cứu hình thành quỹ phát triển nhà ở xã hội, hoặc </w:t>
      </w:r>
      <w:r w:rsidRPr="0086270C">
        <w:rPr>
          <w:b/>
          <w:i/>
          <w:sz w:val="28"/>
          <w:szCs w:val="28"/>
          <w:lang w:val="fr-FR"/>
        </w:rPr>
        <w:t>mô hình định chế tài chính phù hợp để phát triển nhà ở xã hội dài hạn</w:t>
      </w:r>
      <w:r w:rsidRPr="0086270C">
        <w:rPr>
          <w:i/>
          <w:sz w:val="28"/>
          <w:szCs w:val="28"/>
          <w:lang w:val="fr-FR"/>
        </w:rPr>
        <w:t xml:space="preserve">, </w:t>
      </w:r>
      <w:r w:rsidRPr="0086270C">
        <w:rPr>
          <w:b/>
          <w:bCs/>
          <w:i/>
          <w:sz w:val="28"/>
          <w:szCs w:val="28"/>
          <w:lang w:val="fr-FR"/>
        </w:rPr>
        <w:t>bền vững</w:t>
      </w:r>
      <w:r w:rsidRPr="0086270C">
        <w:rPr>
          <w:i/>
          <w:sz w:val="28"/>
          <w:szCs w:val="28"/>
          <w:lang w:val="fr-FR"/>
        </w:rPr>
        <w:t xml:space="preserve">; mở rộng nguồn vốn phát triển nhà ở xã hội từ quỹ đầu tư phát triển địa phương và nguồn vốn từ nước ngoài; khuyến khích hình thành các quỹ đầu tư, quỹ tín thác đầu tư và các hoạt động liên danh, liên kết thực hiện dự án nhà ở xã hội. </w:t>
      </w:r>
      <w:r w:rsidRPr="0086270C">
        <w:rPr>
          <w:b/>
          <w:i/>
          <w:sz w:val="28"/>
          <w:szCs w:val="28"/>
          <w:lang w:val="fr-FR"/>
        </w:rPr>
        <w:t>Bố trí cấp đủ nguồn vốn ngân sách cho Ngân hàng Chính sách xã hội để thực hiện chính sách hỗ trợ, cho vay phát triển nhà ở xã hội</w:t>
      </w:r>
      <w:r w:rsidRPr="0086270C">
        <w:rPr>
          <w:i/>
          <w:sz w:val="28"/>
          <w:szCs w:val="28"/>
          <w:lang w:val="fr-FR"/>
        </w:rPr>
        <w:t xml:space="preserve">; thực hiện đầy đủ, kịp thời việc cấp bù lãi suất cho các ngân hàng thương mại được Nhà nước chỉ định để cho cá nhân và doanh nghiệp vay ưu đãi phát triển nhà ở xã hội; </w:t>
      </w:r>
      <w:r w:rsidRPr="0086270C">
        <w:rPr>
          <w:b/>
          <w:i/>
          <w:sz w:val="28"/>
          <w:szCs w:val="28"/>
          <w:lang w:val="fr-FR"/>
        </w:rPr>
        <w:t>rà soát, đổi mới, tiếp tục mở rộng chương trình cho vay ưu đãi đối với cá nhân, hộ gia đình để mua, thuê, thuê mua nhà ở xã hội theo chính sách về nhà ở xã hội</w:t>
      </w:r>
      <w:r w:rsidRPr="0086270C">
        <w:rPr>
          <w:i/>
          <w:sz w:val="28"/>
          <w:szCs w:val="28"/>
          <w:lang w:val="fr-FR"/>
        </w:rPr>
        <w:t>.</w:t>
      </w:r>
    </w:p>
    <w:p w:rsidR="00D9236C" w:rsidRPr="0086270C" w:rsidRDefault="00D9236C" w:rsidP="0086270C">
      <w:pPr>
        <w:adjustRightInd w:val="0"/>
        <w:snapToGrid w:val="0"/>
        <w:spacing w:before="120" w:after="120" w:line="360" w:lineRule="exact"/>
        <w:ind w:firstLine="720"/>
        <w:jc w:val="both"/>
        <w:rPr>
          <w:bCs/>
          <w:lang w:val="en-US"/>
        </w:rPr>
      </w:pPr>
      <w:r w:rsidRPr="0086270C">
        <w:rPr>
          <w:lang w:val="fr-FR"/>
        </w:rPr>
        <w:t xml:space="preserve">- </w:t>
      </w:r>
      <w:r w:rsidRPr="0086270C">
        <w:rPr>
          <w:bCs/>
          <w:lang w:val="en-US"/>
        </w:rPr>
        <w:t xml:space="preserve">Nghị quyết số 161/2024/QH15 ngày 23/11/2024 của Quốc hội </w:t>
      </w:r>
      <w:r w:rsidRPr="0086270C">
        <w:rPr>
          <w:bCs/>
          <w:iCs/>
          <w:lang w:val="en-US"/>
        </w:rPr>
        <w:t>về tiếp tục nâng cao hiệu lực, hiệu quả việc thực hiện chính sách, pháp luật về quản lý thị trường bất động sản và phát triển nhà ở xã hội đề ra nhiệm vụ “</w:t>
      </w:r>
      <w:r w:rsidRPr="0086270C">
        <w:rPr>
          <w:bCs/>
          <w:i/>
          <w:lang w:val="en-US"/>
        </w:rPr>
        <w:t>Tiếp tục nghiên cứu để đề xuất cơ chế, chính sách thúc đẩy phát triển nhà ở xã hội như: nghiên cứu hình thành quỹ phát triển nhà ở xã hội hoặc mô hình định chế tài chính phù hợp để phát triển nhà ở xã hội”.</w:t>
      </w:r>
      <w:r w:rsidRPr="0086270C">
        <w:rPr>
          <w:bCs/>
          <w:lang w:val="en-US"/>
        </w:rPr>
        <w:t xml:space="preserve"> </w:t>
      </w:r>
    </w:p>
    <w:p w:rsidR="00D9236C" w:rsidRPr="0086270C" w:rsidRDefault="00D9236C" w:rsidP="0086270C">
      <w:pPr>
        <w:pStyle w:val="NormalWeb"/>
        <w:shd w:val="clear" w:color="auto" w:fill="FFFFFF"/>
        <w:spacing w:before="120" w:beforeAutospacing="0" w:after="120" w:afterAutospacing="0" w:line="360" w:lineRule="exact"/>
        <w:ind w:firstLine="720"/>
        <w:jc w:val="both"/>
        <w:rPr>
          <w:sz w:val="28"/>
          <w:szCs w:val="28"/>
          <w:lang w:val="fr-FR"/>
        </w:rPr>
      </w:pPr>
      <w:r w:rsidRPr="0086270C">
        <w:rPr>
          <w:sz w:val="28"/>
          <w:szCs w:val="28"/>
          <w:lang w:val="fr-FR"/>
        </w:rPr>
        <w:t>- Tại Quyết định số 2161/QĐ-TTg ngày 22/12/2021 về việc phê duyệt Chiến lược phát triển nhà ở quốc gia giai đoạn 2021-2030, tầm nhìn đến 2030, Thủ tướng Chính phủ chỉ đạo có giải pháp huy động nguồn vốn xã hội hóa để phát triển nhà ở thông qua nhiều hình thức như</w:t>
      </w:r>
      <w:r w:rsidRPr="0086270C">
        <w:rPr>
          <w:i/>
          <w:sz w:val="28"/>
          <w:szCs w:val="28"/>
          <w:lang w:val="fr-FR"/>
        </w:rPr>
        <w:t xml:space="preserve">: huy động vốn của doanh nghiệp, huy động từ ngân hàng, các tổ chức tín dụng, quỹ đầu tư phát triển địa phương, cổ phiếu, </w:t>
      </w:r>
      <w:r w:rsidRPr="0086270C">
        <w:rPr>
          <w:bCs/>
          <w:i/>
          <w:sz w:val="28"/>
          <w:szCs w:val="28"/>
          <w:lang w:val="fr-FR"/>
        </w:rPr>
        <w:t>trái phiếu</w:t>
      </w:r>
      <w:r w:rsidRPr="0086270C">
        <w:rPr>
          <w:i/>
          <w:sz w:val="28"/>
          <w:szCs w:val="28"/>
          <w:lang w:val="fr-FR"/>
        </w:rPr>
        <w:t xml:space="preserve"> và các nguồn vốn hợp pháp khác, nhằm </w:t>
      </w:r>
      <w:r w:rsidRPr="0086270C">
        <w:rPr>
          <w:b/>
          <w:i/>
          <w:sz w:val="28"/>
          <w:szCs w:val="28"/>
          <w:lang w:val="fr-FR"/>
        </w:rPr>
        <w:t>tạo lập hệ thống tài chính nhà ở vận hành ổn định, dài hạn và giảm phụ thuộc vào ngân sách nhà nước</w:t>
      </w:r>
      <w:r w:rsidRPr="0086270C">
        <w:rPr>
          <w:b/>
          <w:sz w:val="28"/>
          <w:szCs w:val="28"/>
          <w:lang w:val="fr-FR"/>
        </w:rPr>
        <w:t>.</w:t>
      </w:r>
      <w:r w:rsidRPr="0086270C">
        <w:rPr>
          <w:sz w:val="28"/>
          <w:szCs w:val="28"/>
          <w:lang w:val="fr-FR"/>
        </w:rPr>
        <w:t xml:space="preserve"> Đồng thời giao Ngân hàng Nhà nước Việt Nam kịp thời hướng dẫn các tổ chức tín dụng cho vay nhà ở xã hội, chỉ đạo Ngân hàng Chính sách xã hội triển khai chương trình cho vay nhà ở xã hội theo Luật Nhà ở và các quy định pháp luật có liên quan và giao các địa phương thực hiện bố trí nguồn vốn từ ngân sách địa phương để đầu tư xây dựng nhà ở xã hội và hỗ trợ về nhà ở cho các đối tượng chính sách xã hội trên phạm vi địa bàn theo quy định của pháp luật.</w:t>
      </w:r>
    </w:p>
    <w:p w:rsidR="00D9236C" w:rsidRPr="0086270C" w:rsidRDefault="00D9236C" w:rsidP="0086270C">
      <w:pPr>
        <w:tabs>
          <w:tab w:val="left" w:pos="0"/>
        </w:tabs>
        <w:spacing w:before="120" w:after="120" w:line="360" w:lineRule="exact"/>
        <w:ind w:firstLine="720"/>
        <w:jc w:val="both"/>
        <w:rPr>
          <w:i/>
          <w:lang w:val="fr-FR"/>
        </w:rPr>
      </w:pPr>
      <w:r w:rsidRPr="0086270C">
        <w:rPr>
          <w:lang w:val="fr-FR"/>
        </w:rPr>
        <w:t xml:space="preserve">- Tại Quyết định số 338/QĐ-TTg ngày 03/4/2024 phê duyệt Đề án </w:t>
      </w:r>
      <w:r w:rsidRPr="0086270C">
        <w:rPr>
          <w:i/>
          <w:lang w:val="fr-FR"/>
        </w:rPr>
        <w:t>“Đầu tư xây dựng ít nhất 01 triệu căn nhà ở xã hội cho đối tượng thu nhập thấp, công nhân khu công nghiệp giai đoạn 2021-2030”</w:t>
      </w:r>
      <w:r w:rsidRPr="0086270C">
        <w:rPr>
          <w:lang w:val="fr-FR"/>
        </w:rPr>
        <w:t xml:space="preserve">. Thủ tướng đã chỉ đạo: </w:t>
      </w:r>
      <w:r w:rsidRPr="0086270C">
        <w:rPr>
          <w:i/>
          <w:lang w:val="fr-FR"/>
        </w:rPr>
        <w:t xml:space="preserve">xác định </w:t>
      </w:r>
      <w:r w:rsidRPr="0086270C">
        <w:rPr>
          <w:i/>
          <w:lang w:val="fr-FR"/>
        </w:rPr>
        <w:lastRenderedPageBreak/>
        <w:t xml:space="preserve">việc đầu tư phát triển nhà ở xã hội cho người lao động có thu nhập thấp là một hạng mục đầu tư trong </w:t>
      </w:r>
      <w:r w:rsidRPr="0086270C">
        <w:rPr>
          <w:b/>
          <w:i/>
          <w:lang w:val="fr-FR"/>
        </w:rPr>
        <w:t>nguồn vốn trung - dài hạn của địa phương</w:t>
      </w:r>
      <w:r w:rsidRPr="0086270C">
        <w:rPr>
          <w:i/>
          <w:lang w:val="fr-FR"/>
        </w:rPr>
        <w:t xml:space="preserve">. </w:t>
      </w:r>
      <w:r w:rsidRPr="0086270C">
        <w:rPr>
          <w:b/>
          <w:i/>
          <w:lang w:val="fr-FR"/>
        </w:rPr>
        <w:t>Sửa đổi, bổ sung quy định về các nguồn vốn cho phát triển nhà ở thông qua quy định về nguồn vốn mới và tối ưu hóa các nguồn vốn hiện hành</w:t>
      </w:r>
      <w:r w:rsidRPr="0086270C">
        <w:rPr>
          <w:i/>
          <w:lang w:val="fr-FR"/>
        </w:rPr>
        <w:t xml:space="preserve"> nhằm hạn chế phụ thuộc vào nguồn vốn từ ngân sách nhà nước; theo hướng: bổ sung thêm việc huy động vốn từ quỹ đầu tư phát triển địa phương để phát triển nhà ở xã hội, </w:t>
      </w:r>
      <w:r w:rsidRPr="0086270C">
        <w:rPr>
          <w:i/>
          <w:u w:val="single"/>
          <w:lang w:val="fr-FR"/>
        </w:rPr>
        <w:t>giới hạn mục đích sử dụng nguồn vốn ngân sách nhà nước</w:t>
      </w:r>
      <w:r w:rsidRPr="0086270C">
        <w:rPr>
          <w:i/>
          <w:lang w:val="fr-FR"/>
        </w:rPr>
        <w:t xml:space="preserve"> để phát triển hạ tầng cho phù hợp với quy định của Luật Đầu tư công, bổ sung hình thức huy động vốn từ nước ngoài để phát triển nhà ở xã hội.</w:t>
      </w:r>
    </w:p>
    <w:p w:rsidR="00D9236C" w:rsidRPr="0086270C" w:rsidRDefault="00D9236C" w:rsidP="0086270C">
      <w:pPr>
        <w:widowControl w:val="0"/>
        <w:spacing w:before="120" w:after="120" w:line="360" w:lineRule="exact"/>
        <w:ind w:firstLine="720"/>
        <w:jc w:val="both"/>
        <w:rPr>
          <w:b/>
          <w:lang w:val="nl-NL"/>
        </w:rPr>
      </w:pPr>
      <w:r w:rsidRPr="0086270C">
        <w:rPr>
          <w:b/>
          <w:lang w:val="nl-NL"/>
        </w:rPr>
        <w:t>2. Cơ sở pháp lý về tổ chức triển khai phát triển nhà ở xã hội</w:t>
      </w:r>
    </w:p>
    <w:p w:rsidR="00D9236C" w:rsidRPr="0086270C" w:rsidRDefault="00AE4734" w:rsidP="0086270C">
      <w:pPr>
        <w:widowControl w:val="0"/>
        <w:spacing w:before="120" w:after="120" w:line="360" w:lineRule="exact"/>
        <w:ind w:firstLine="720"/>
        <w:jc w:val="both"/>
        <w:rPr>
          <w:b/>
          <w:i/>
          <w:lang w:val="nl-NL"/>
        </w:rPr>
      </w:pPr>
      <w:r w:rsidRPr="0086270C">
        <w:rPr>
          <w:b/>
          <w:i/>
          <w:lang w:val="nl-NL"/>
        </w:rPr>
        <w:t>2.1.</w:t>
      </w:r>
      <w:r w:rsidR="00D9236C" w:rsidRPr="0086270C">
        <w:rPr>
          <w:b/>
          <w:i/>
          <w:lang w:val="nl-NL"/>
        </w:rPr>
        <w:t xml:space="preserve"> Chính sách Nhà nước về phát triển nhà ở xã hội</w:t>
      </w:r>
    </w:p>
    <w:p w:rsidR="008737C4" w:rsidRDefault="00D9236C" w:rsidP="008737C4">
      <w:pPr>
        <w:widowControl w:val="0"/>
        <w:spacing w:before="120" w:after="120" w:line="360" w:lineRule="exact"/>
        <w:ind w:firstLine="720"/>
        <w:jc w:val="both"/>
        <w:rPr>
          <w:bCs/>
          <w:lang w:val="vi-VN"/>
        </w:rPr>
      </w:pPr>
      <w:r w:rsidRPr="0086270C">
        <w:rPr>
          <w:bCs/>
          <w:lang w:val="nl-NL"/>
        </w:rPr>
        <w:t>Luật Nhà ở năm 2023 quy định các chính sách của Nhà nước đối với phát triển nhà ở xã hội (Điều 4) bao gồm:</w:t>
      </w:r>
    </w:p>
    <w:p w:rsidR="008737C4" w:rsidRPr="008737C4" w:rsidRDefault="008737C4" w:rsidP="008737C4">
      <w:pPr>
        <w:widowControl w:val="0"/>
        <w:spacing w:before="120" w:after="120" w:line="360" w:lineRule="exact"/>
        <w:ind w:firstLine="720"/>
        <w:jc w:val="both"/>
        <w:rPr>
          <w:bCs/>
          <w:lang w:val="vi-VN"/>
        </w:rPr>
      </w:pPr>
      <w:r>
        <w:rPr>
          <w:bCs/>
          <w:lang w:val="vi-VN"/>
        </w:rPr>
        <w:t>-</w:t>
      </w:r>
      <w:r w:rsidR="00D9236C" w:rsidRPr="008737C4">
        <w:rPr>
          <w:bCs/>
          <w:lang w:val="nl-NL"/>
        </w:rPr>
        <w:t>Nhà nước đầu tư xây dựng nhà ở xã hội bằng một phần hoặc toàn bộ vốn đầu tư công để cho thuê, cho thuê mua;</w:t>
      </w:r>
    </w:p>
    <w:p w:rsidR="008737C4" w:rsidRDefault="008737C4" w:rsidP="008737C4">
      <w:pPr>
        <w:widowControl w:val="0"/>
        <w:spacing w:before="120" w:after="120" w:line="360" w:lineRule="exact"/>
        <w:ind w:firstLine="720"/>
        <w:jc w:val="both"/>
        <w:rPr>
          <w:bCs/>
          <w:lang w:val="vi-VN"/>
        </w:rPr>
      </w:pPr>
      <w:r>
        <w:rPr>
          <w:bCs/>
          <w:lang w:val="vi-VN"/>
        </w:rPr>
        <w:t>-</w:t>
      </w:r>
      <w:r w:rsidR="00D9236C" w:rsidRPr="008737C4">
        <w:rPr>
          <w:bCs/>
          <w:lang w:val="nl-NL"/>
        </w:rPr>
        <w:t xml:space="preserve">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w:t>
      </w:r>
    </w:p>
    <w:p w:rsidR="00D9236C" w:rsidRPr="008737C4" w:rsidRDefault="008737C4" w:rsidP="008737C4">
      <w:pPr>
        <w:widowControl w:val="0"/>
        <w:spacing w:before="120" w:after="120" w:line="360" w:lineRule="exact"/>
        <w:ind w:firstLine="720"/>
        <w:jc w:val="both"/>
        <w:rPr>
          <w:bCs/>
          <w:lang w:val="vi-VN"/>
        </w:rPr>
      </w:pPr>
      <w:r>
        <w:rPr>
          <w:bCs/>
          <w:lang w:val="vi-VN"/>
        </w:rPr>
        <w:t>-</w:t>
      </w:r>
      <w:r w:rsidR="00D9236C" w:rsidRPr="008737C4">
        <w:rPr>
          <w:bCs/>
          <w:lang w:val="nl-NL"/>
        </w:rPr>
        <w:t xml:space="preserve"> </w:t>
      </w:r>
      <w:r w:rsidR="00D9236C" w:rsidRPr="0086270C">
        <w:t>Ủy ban nhân dân tỉnh, thành phố trực thuộc trung ương có trách nhiệm quy hoạch, bố trí diện tích đất, đầu tư xây dựng nhà ở xã hội theo quy định.</w:t>
      </w:r>
    </w:p>
    <w:p w:rsidR="00D9236C" w:rsidRPr="0086270C" w:rsidRDefault="00AE4734" w:rsidP="0086270C">
      <w:pPr>
        <w:widowControl w:val="0"/>
        <w:spacing w:before="120" w:after="120" w:line="360" w:lineRule="exact"/>
        <w:ind w:firstLine="720"/>
        <w:jc w:val="both"/>
        <w:rPr>
          <w:b/>
          <w:bCs/>
          <w:i/>
        </w:rPr>
      </w:pPr>
      <w:r w:rsidRPr="0086270C">
        <w:rPr>
          <w:b/>
          <w:bCs/>
          <w:i/>
        </w:rPr>
        <w:t>2.2.</w:t>
      </w:r>
      <w:r w:rsidR="00D9236C" w:rsidRPr="0086270C">
        <w:rPr>
          <w:b/>
          <w:bCs/>
          <w:i/>
        </w:rPr>
        <w:t xml:space="preserve"> Quy định về nguồn vốn phát triển nhà ở xã hội</w:t>
      </w:r>
    </w:p>
    <w:p w:rsidR="00D9236C" w:rsidRPr="0086270C" w:rsidRDefault="00D9236C" w:rsidP="0086270C">
      <w:pPr>
        <w:widowControl w:val="0"/>
        <w:spacing w:before="120" w:after="120" w:line="360" w:lineRule="exact"/>
        <w:ind w:firstLine="720"/>
        <w:jc w:val="both"/>
        <w:rPr>
          <w:bCs/>
          <w:lang w:val="nl-NL"/>
        </w:rPr>
      </w:pPr>
      <w:r w:rsidRPr="0086270C">
        <w:t>T</w:t>
      </w:r>
      <w:r w:rsidRPr="0086270C">
        <w:rPr>
          <w:bCs/>
          <w:lang w:val="nl-NL"/>
        </w:rPr>
        <w:t>heo quy định tại Luật Nhà ở năm 2023 (Khoản 3 Điều 115), nguồn vốn để thực hiện chính sách nhà ở xã hội bao gồm:</w:t>
      </w:r>
    </w:p>
    <w:p w:rsidR="00D9236C" w:rsidRPr="0086270C" w:rsidRDefault="00D9236C" w:rsidP="0086270C">
      <w:pPr>
        <w:widowControl w:val="0"/>
        <w:spacing w:before="120" w:after="120" w:line="360" w:lineRule="exact"/>
        <w:ind w:firstLine="720"/>
        <w:jc w:val="both"/>
        <w:rPr>
          <w:bCs/>
          <w:i/>
          <w:iCs/>
          <w:lang w:val="nl-NL"/>
        </w:rPr>
      </w:pPr>
      <w:r w:rsidRPr="0086270C">
        <w:rPr>
          <w:bCs/>
          <w:lang w:val="nl-NL"/>
        </w:rPr>
        <w:t>“</w:t>
      </w:r>
      <w:r w:rsidRPr="0086270C">
        <w:rPr>
          <w:bCs/>
          <w:i/>
          <w:iCs/>
          <w:lang w:val="nl-NL"/>
        </w:rPr>
        <w:t>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b) Vốn huy động thông qua góp vốn, hợp tác đầu tư, hợp tác kinh doanh, liên doanh, liên kết của tổ chức, cá nhân;</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c) Vốn của đối tượng thuộc trường hợp được hưởng chính sách hỗ trợ về nhà ở xã hội;</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 xml:space="preserve">d) Nguồn vốn của Nhà nước quy định tại khoản 1 Điều 113 của Luật này (bao gồm: (i) Vốn đầu tư công theo quy định của pháp luật về đầu tư công; (ii) Vốn từ công trái quốc gia, trái phiếu, vốn hỗ trợ phát triển chính thức, vốn vay ưu đãi của các nhà tài trợ, vốn tín dụng đầu tư phát triển của Nhà nước; vốn </w:t>
      </w:r>
      <w:r w:rsidRPr="0086270C">
        <w:rPr>
          <w:bCs/>
          <w:i/>
          <w:iCs/>
          <w:lang w:val="nl-NL"/>
        </w:rPr>
        <w:lastRenderedPageBreak/>
        <w:t>huy động từ Quỹ phát triển đất, các quỹ tài chính nhà nước ngoài ngân sách khác theo quy định của pháp luật);</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e) Nguồn tài chính công đoàn để thực hiện dự án;</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g) Vốn vay từ tổ chức tín dụng, tổ chức tài chính đang hoạt động tại Việt Nam;</w:t>
      </w:r>
    </w:p>
    <w:p w:rsidR="00D9236C" w:rsidRPr="0086270C" w:rsidRDefault="00D9236C" w:rsidP="0086270C">
      <w:pPr>
        <w:widowControl w:val="0"/>
        <w:spacing w:before="120" w:after="120" w:line="360" w:lineRule="exact"/>
        <w:ind w:firstLine="720"/>
        <w:jc w:val="both"/>
        <w:rPr>
          <w:bCs/>
          <w:i/>
          <w:iCs/>
          <w:lang w:val="nl-NL"/>
        </w:rPr>
      </w:pPr>
      <w:r w:rsidRPr="0086270C">
        <w:rPr>
          <w:bCs/>
          <w:i/>
          <w:iCs/>
          <w:lang w:val="nl-NL"/>
        </w:rPr>
        <w:t>h) Vốn đầu tư trực tiếp nước ngoài vào Việt Nam;</w:t>
      </w:r>
    </w:p>
    <w:p w:rsidR="00D9236C" w:rsidRPr="0086270C" w:rsidRDefault="00D9236C" w:rsidP="0086270C">
      <w:pPr>
        <w:widowControl w:val="0"/>
        <w:spacing w:before="120" w:after="120" w:line="360" w:lineRule="exact"/>
        <w:ind w:firstLine="720"/>
        <w:jc w:val="both"/>
        <w:rPr>
          <w:bCs/>
          <w:lang w:val="nl-NL"/>
        </w:rPr>
      </w:pPr>
      <w:r w:rsidRPr="0086270C">
        <w:rPr>
          <w:bCs/>
          <w:i/>
          <w:iCs/>
          <w:lang w:val="nl-NL"/>
        </w:rPr>
        <w:t>i) Nguồn vốn hợp pháp khác</w:t>
      </w:r>
      <w:r w:rsidRPr="0086270C">
        <w:rPr>
          <w:bCs/>
          <w:lang w:val="nl-NL"/>
        </w:rPr>
        <w:t>.”</w:t>
      </w:r>
    </w:p>
    <w:p w:rsidR="00D9236C" w:rsidRPr="0086270C" w:rsidRDefault="00D9236C" w:rsidP="0086270C">
      <w:pPr>
        <w:widowControl w:val="0"/>
        <w:spacing w:before="120" w:after="120" w:line="360" w:lineRule="exact"/>
        <w:ind w:firstLine="720"/>
        <w:jc w:val="both"/>
        <w:rPr>
          <w:bCs/>
          <w:lang w:val="nl-NL"/>
        </w:rPr>
      </w:pPr>
      <w:r w:rsidRPr="0086270C">
        <w:rPr>
          <w:bCs/>
          <w:lang w:val="nl-NL"/>
        </w:rPr>
        <w:t>- Đối với nguồn vốn vay ưu đãi để mua, thuê mua nhà ở xã hội, xây dựng hoặc cải tạo, sửa chữa nhà ở xã hội, Nghị định số 100/2024/NĐ-CP ngày 26/7/2024 của Chính phủ quy định chi tiết một số điều của Luật Nhà ở về phát triển và quản lý nhà ở xã hội (khoản 3, khoản 4 Điều 46) quy định:</w:t>
      </w:r>
    </w:p>
    <w:p w:rsidR="00D9236C" w:rsidRPr="0086270C" w:rsidRDefault="00D9236C" w:rsidP="0086270C">
      <w:pPr>
        <w:widowControl w:val="0"/>
        <w:spacing w:before="120" w:after="120" w:line="360" w:lineRule="exact"/>
        <w:ind w:firstLine="720"/>
        <w:jc w:val="both"/>
        <w:rPr>
          <w:bCs/>
          <w:i/>
          <w:iCs/>
          <w:lang w:val="nl-NL"/>
        </w:rPr>
      </w:pPr>
      <w:r w:rsidRPr="0086270C">
        <w:rPr>
          <w:bCs/>
          <w:lang w:val="nl-NL"/>
        </w:rPr>
        <w:t>“</w:t>
      </w:r>
      <w:r w:rsidRPr="0086270C">
        <w:rPr>
          <w:bCs/>
          <w:i/>
          <w:iCs/>
          <w:lang w:val="nl-NL"/>
        </w:rPr>
        <w:t>3. Ngân hàng Chính sách xã hội hoặc các tổ chức tín dụng do Nhà nước chỉ định thực hiện việc cho vay ưu đãi hỗ trợ nhà ở xã hội, nhà ở cho lực lượng vũ trang nhân dân bảo đảm phù hợp với quy định của pháp luật về nhà ở, pháp luật về tín dụng và pháp luật có liên quan.</w:t>
      </w:r>
    </w:p>
    <w:p w:rsidR="00D9236C" w:rsidRPr="0086270C" w:rsidRDefault="00D9236C" w:rsidP="0086270C">
      <w:pPr>
        <w:widowControl w:val="0"/>
        <w:spacing w:before="120" w:after="120" w:line="360" w:lineRule="exact"/>
        <w:ind w:firstLine="720"/>
        <w:jc w:val="both"/>
        <w:rPr>
          <w:bCs/>
          <w:lang w:val="nl-NL"/>
        </w:rPr>
      </w:pPr>
      <w:r w:rsidRPr="0086270C">
        <w:rPr>
          <w:bCs/>
          <w:i/>
          <w:iCs/>
          <w:lang w:val="nl-NL"/>
        </w:rPr>
        <w:t>4. Ngân hàng Chính sách xã hội được huy động tiền gửi tiết kiệm của hộ gia đình, cá nhân trong nước có nhu cầu mua, thuê mua nhà ở xã hội, nhà ở cho lực lượng vũ trang nhân dân để cho các đối tượng này vay theo quy định tại khoản 1 Điều 48 và khoản 1 Điều 71 của Nghị định này sau một thời gian gửi tiết kiệm nhất định theo thỏa thuận với Ngân hàng Chính sách xã hội</w:t>
      </w:r>
      <w:r w:rsidRPr="0086270C">
        <w:rPr>
          <w:bCs/>
          <w:lang w:val="nl-NL"/>
        </w:rPr>
        <w:t>.”</w:t>
      </w:r>
    </w:p>
    <w:p w:rsidR="00D9236C" w:rsidRPr="0086270C" w:rsidRDefault="00D9236C" w:rsidP="0086270C">
      <w:pPr>
        <w:widowControl w:val="0"/>
        <w:spacing w:before="120" w:after="120" w:line="360" w:lineRule="exact"/>
        <w:ind w:firstLine="720"/>
        <w:jc w:val="both"/>
        <w:rPr>
          <w:bCs/>
          <w:lang w:val="nl-NL"/>
        </w:rPr>
      </w:pPr>
      <w:r w:rsidRPr="0086270C">
        <w:rPr>
          <w:bCs/>
          <w:lang w:val="nl-NL"/>
        </w:rPr>
        <w:t>- Đồng thời, Điều 50 Nghị định số 100/2024/NĐ-CP quy định về nguồn vốn Nhà nước hỗ trợ cho vay ưu đãi nhà ở xã hội bao gồm:</w:t>
      </w:r>
    </w:p>
    <w:p w:rsidR="00D9236C" w:rsidRPr="0086270C" w:rsidRDefault="00D9236C" w:rsidP="0086270C">
      <w:pPr>
        <w:widowControl w:val="0"/>
        <w:spacing w:before="120" w:after="120" w:line="360" w:lineRule="exact"/>
        <w:ind w:firstLine="720"/>
        <w:jc w:val="both"/>
        <w:rPr>
          <w:bCs/>
          <w:lang w:val="nl-NL"/>
        </w:rPr>
      </w:pPr>
      <w:r w:rsidRPr="0086270C">
        <w:rPr>
          <w:bCs/>
          <w:lang w:val="nl-NL"/>
        </w:rPr>
        <w:t xml:space="preserve">+ Nguồn vốn cho vay ưu đãi thông qua Ngân hàng Chính sách xã hội (NHCSXH): (1) ngân sách nhà nước bố trí cấp 100% vốn, cấp bù chênh lệch lãi suất và phí quản lý trong kế hoạch đầu tư công trung hạn và hàng năm để cho vay các đối tượng được cho vay ưu đãi theo quy định tại Điều 25, Điều 26, khoản 1 Điều 47, khoản 3 Điều 71 của Nghị định; (2) ngân sách nhà nước bố trí cấp 50% nguồn vốn trong kế hoạch đầu tư công trung hạn và hàng năm, NHCSXH đáp ứng 50% nguồn vốn huy động; ngân sách nhà nước cấp bù chênh lệch lãi suất và phí quản lý cho NHCSXH để cho vay đối với các đối tượng quy định tại khoản 5 Điều 77 Luật Nhà ở; (3) nguồn vốn ủy thác từ Quỹ phát triển nhà ở địa phương (nếu có), ngân sách địa phương hỗ trợ hàng năm, vốn từ phát hành trái phiếu, công trái nhà ở và từ các nguồn hợp pháp khác theo quy định </w:t>
      </w:r>
      <w:r w:rsidRPr="0086270C">
        <w:rPr>
          <w:bCs/>
          <w:lang w:val="nl-NL"/>
        </w:rPr>
        <w:lastRenderedPageBreak/>
        <w:t>của pháp luật do Hội đồng nhân dân cấp tỉnh (đối với ngân sách cấp tỉnh), cấp huyên (đối với ngân sách cấp huyện) quyết định để thực hiện muc tiêu, kế hoạch nhà ở xã hội tại địa phương.</w:t>
      </w:r>
    </w:p>
    <w:p w:rsidR="00D9236C" w:rsidRPr="0086270C" w:rsidRDefault="00D9236C" w:rsidP="0086270C">
      <w:pPr>
        <w:widowControl w:val="0"/>
        <w:spacing w:before="120" w:after="120" w:line="360" w:lineRule="exact"/>
        <w:ind w:firstLine="720"/>
        <w:jc w:val="both"/>
        <w:rPr>
          <w:bCs/>
          <w:lang w:val="nl-NL"/>
        </w:rPr>
      </w:pPr>
      <w:r w:rsidRPr="0086270C">
        <w:rPr>
          <w:bCs/>
          <w:lang w:val="nl-NL"/>
        </w:rPr>
        <w:t>+ Nguồn vốn cho vay nhà ở xã hội thông qua Ngân hàng Phát triển Việt Nam: (1) nguồn vốn từ phát hành trái phiếu được Chính phủ bảo lãnh và các nguồn hợp pháp khác, ngân sách nhà nước không cấp bù chênh lệch lãi suất và phí quản lý; (2) nguồn vốn từ ngân sách nhà nước để cho vay nhà ở xã hội theo các chương trình cho vay của Chính phủ, Thủ tướng Chính phủ trong từng thời kỳ, ngân sách nhà nước cấp bù chênh lệch lãi suất và phí quản lý.</w:t>
      </w:r>
    </w:p>
    <w:p w:rsidR="00D9236C" w:rsidRPr="0086270C" w:rsidRDefault="00D9236C" w:rsidP="0086270C">
      <w:pPr>
        <w:widowControl w:val="0"/>
        <w:spacing w:before="120" w:after="120" w:line="360" w:lineRule="exact"/>
        <w:ind w:firstLine="720"/>
        <w:jc w:val="both"/>
        <w:rPr>
          <w:bCs/>
          <w:lang w:val="nl-NL"/>
        </w:rPr>
      </w:pPr>
      <w:r w:rsidRPr="0086270C">
        <w:rPr>
          <w:bCs/>
          <w:lang w:val="nl-NL"/>
        </w:rPr>
        <w:t>+ Nguồn vốn ưu đãi từ ngân sách nhà nước theo các chương trình, kế hoạch phát triển nhà ở cho các đối tương vay vốn ưu đãi tại các tổ chức tín dụng.</w:t>
      </w:r>
    </w:p>
    <w:p w:rsidR="00D9236C" w:rsidRPr="0086270C" w:rsidRDefault="00D9236C" w:rsidP="0086270C">
      <w:pPr>
        <w:widowControl w:val="0"/>
        <w:spacing w:before="120" w:after="120" w:line="360" w:lineRule="exact"/>
        <w:ind w:firstLine="720"/>
        <w:jc w:val="both"/>
        <w:rPr>
          <w:bCs/>
          <w:lang w:val="nl-NL"/>
        </w:rPr>
      </w:pPr>
      <w:r w:rsidRPr="0086270C">
        <w:rPr>
          <w:bCs/>
          <w:lang w:val="nl-NL"/>
        </w:rPr>
        <w:t>+ Nguồn vốn ưu đãi cho vay thông qua các tổ chức tín dụng: (1) Chính phủ sử dụng nguồn vốn vay ODA, vay ưu đãi nước ngoài để cho vay lại các tổ chức tín dụng được chỉ định cho vay, (2) trái phiếu Chính phủ, trái phiếu chính quyền địa phương.</w:t>
      </w:r>
    </w:p>
    <w:p w:rsidR="00D9236C" w:rsidRPr="0086270C" w:rsidRDefault="00D9236C" w:rsidP="0086270C">
      <w:pPr>
        <w:widowControl w:val="0"/>
        <w:spacing w:before="120" w:after="120" w:line="360" w:lineRule="exact"/>
        <w:ind w:left="90" w:right="-19" w:firstLine="720"/>
        <w:jc w:val="both"/>
        <w:rPr>
          <w:lang w:val="en-US"/>
        </w:rPr>
      </w:pPr>
      <w:r w:rsidRPr="0086270C">
        <w:rPr>
          <w:bCs/>
          <w:lang w:val="nl-NL"/>
        </w:rPr>
        <w:t>- Về hoạt động</w:t>
      </w:r>
      <w:r w:rsidR="008737C4">
        <w:rPr>
          <w:bCs/>
          <w:lang w:val="vi-VN"/>
        </w:rPr>
        <w:t xml:space="preserve"> của</w:t>
      </w:r>
      <w:r w:rsidRPr="0086270C">
        <w:rPr>
          <w:bCs/>
          <w:lang w:val="nl-NL"/>
        </w:rPr>
        <w:t xml:space="preserve"> các quỹ đầu tư phát triển địa phương, Chính phủ đã ban hành </w:t>
      </w:r>
      <w:r w:rsidRPr="0086270C">
        <w:rPr>
          <w:lang w:val="en-US"/>
        </w:rPr>
        <w:t>Nghị định số 147/2020/NĐ-CP</w:t>
      </w:r>
      <w:r w:rsidRPr="0086270C">
        <w:t xml:space="preserve"> ngày </w:t>
      </w:r>
      <w:r w:rsidRPr="0086270C">
        <w:rPr>
          <w:lang w:val="fr-FR"/>
        </w:rPr>
        <w:t>18/12/2020 quy định về tổ chức và hoạt động của quỹ đầu tư phát triển địa phương, theo đó, Quỹ đầu tư phát triển địa phương là quỹ tài chính nhà nước ngoài ngân sách thực hiện chức năng cho vay và đầu tư tại địa phương. K</w:t>
      </w:r>
      <w:r w:rsidRPr="0086270C">
        <w:rPr>
          <w:lang w:val="en-US"/>
        </w:rPr>
        <w:t>hoản 1 Điều 15 Nghị định số 147/2020/NĐ-CP quy định về danh mục lĩnh vực đầu tư, cho vay của Quỹ đầu tư phát triển địa phương như sau: “</w:t>
      </w:r>
      <w:r w:rsidRPr="0086270C">
        <w:rPr>
          <w:i/>
          <w:lang w:val="en-US"/>
        </w:rPr>
        <w:t xml:space="preserve">Căn cứ vào chiến lược phát triển kinh tế - xã hội, kế hoạch phát triển kinh tế - xã hội 05 năm, tình hình thực tế của địa phương và quy mô hoạt động của Quỹ đầu tư phát triển địa phương, hàng năm hoặc trong từng thời kỳ, </w:t>
      </w:r>
      <w:r w:rsidRPr="0086270C">
        <w:rPr>
          <w:i/>
          <w:u w:val="single"/>
          <w:lang w:val="en-US"/>
        </w:rPr>
        <w:t>Quỹ đầu tư phát triển địa phương đề xuất danh mục lĩnh vực đầu tư, cho vay nhằm góp phần thúc đẩy phát triển kinh tế - xã hội của địa phương bao gồm:</w:t>
      </w:r>
      <w:r w:rsidRPr="0086270C">
        <w:rPr>
          <w:i/>
          <w:lang w:val="en-US"/>
        </w:rPr>
        <w:t xml:space="preserve"> giáo dục, y tế, công nghiệp, nông nghiệp, ngư nghiệp, môi trường, năng lượng, </w:t>
      </w:r>
      <w:r w:rsidRPr="0086270C">
        <w:rPr>
          <w:i/>
          <w:u w:val="single"/>
          <w:lang w:val="en-US"/>
        </w:rPr>
        <w:t>nhà ở</w:t>
      </w:r>
      <w:r w:rsidRPr="0086270C">
        <w:rPr>
          <w:i/>
          <w:lang w:val="en-US"/>
        </w:rPr>
        <w:t>, văn hóa, du lịch, giao thông, các lĩnh vực khuyến khích xã hội hóa và các lĩnh vực ưu tiên phát triển khác theo định hướng phát triển kinh tế - xã hội của địa phương</w:t>
      </w:r>
      <w:r w:rsidRPr="0086270C">
        <w:rPr>
          <w:lang w:val="en-US"/>
        </w:rPr>
        <w:t>”.</w:t>
      </w:r>
    </w:p>
    <w:p w:rsidR="00D9236C" w:rsidRPr="0086270C" w:rsidRDefault="00D9236C" w:rsidP="0086270C">
      <w:pPr>
        <w:widowControl w:val="0"/>
        <w:spacing w:before="120" w:after="120" w:line="360" w:lineRule="exact"/>
        <w:ind w:firstLine="720"/>
        <w:jc w:val="both"/>
        <w:rPr>
          <w:bCs/>
          <w:lang w:val="nl-NL"/>
        </w:rPr>
      </w:pPr>
      <w:r w:rsidRPr="0086270C">
        <w:rPr>
          <w:bCs/>
          <w:i/>
          <w:lang w:val="nl-NL"/>
        </w:rPr>
        <w:t>Như vậy</w:t>
      </w:r>
      <w:r w:rsidRPr="0086270C">
        <w:rPr>
          <w:bCs/>
          <w:lang w:val="nl-NL"/>
        </w:rPr>
        <w:t xml:space="preserve">, pháp luật </w:t>
      </w:r>
      <w:r w:rsidR="008737C4">
        <w:rPr>
          <w:bCs/>
          <w:lang w:val="vi-VN"/>
        </w:rPr>
        <w:t xml:space="preserve">hiện hành </w:t>
      </w:r>
      <w:r w:rsidRPr="0086270C">
        <w:rPr>
          <w:bCs/>
          <w:lang w:val="nl-NL"/>
        </w:rPr>
        <w:t>đã quy định</w:t>
      </w:r>
      <w:r w:rsidR="008737C4">
        <w:rPr>
          <w:bCs/>
          <w:lang w:val="vi-VN"/>
        </w:rPr>
        <w:t xml:space="preserve"> cụ thể</w:t>
      </w:r>
      <w:r w:rsidRPr="0086270C">
        <w:rPr>
          <w:bCs/>
          <w:lang w:val="nl-NL"/>
        </w:rPr>
        <w:t xml:space="preserve"> các định chế tài chính triển khai nguồn vốn ưu đãi do Nhà nước hỗ trợ để thực hiện chính sách phát triển nhà ở xã hội bao gồm; </w:t>
      </w:r>
      <w:r w:rsidRPr="0086270C">
        <w:rPr>
          <w:b/>
          <w:bCs/>
          <w:lang w:val="nl-NL"/>
        </w:rPr>
        <w:t>(i)</w:t>
      </w:r>
      <w:r w:rsidRPr="0086270C">
        <w:rPr>
          <w:bCs/>
          <w:lang w:val="nl-NL"/>
        </w:rPr>
        <w:t xml:space="preserve"> NHCSXH (bao gồm nguồn vốn nhận ủy thác từ quỹ phát triển nhà ở tại địa phương), </w:t>
      </w:r>
      <w:r w:rsidRPr="0086270C">
        <w:rPr>
          <w:b/>
          <w:bCs/>
          <w:lang w:val="nl-NL"/>
        </w:rPr>
        <w:t>(ii)</w:t>
      </w:r>
      <w:r w:rsidRPr="0086270C">
        <w:rPr>
          <w:bCs/>
          <w:lang w:val="nl-NL"/>
        </w:rPr>
        <w:t xml:space="preserve"> Ngân hàng Phát triển Việt Nam, và </w:t>
      </w:r>
      <w:r w:rsidRPr="0086270C">
        <w:rPr>
          <w:b/>
          <w:bCs/>
          <w:lang w:val="nl-NL"/>
        </w:rPr>
        <w:t>(iii)</w:t>
      </w:r>
      <w:r w:rsidRPr="0086270C">
        <w:rPr>
          <w:bCs/>
          <w:lang w:val="nl-NL"/>
        </w:rPr>
        <w:t xml:space="preserve"> các tổ chức tín dụng được chỉ định, </w:t>
      </w:r>
      <w:r w:rsidRPr="0086270C">
        <w:rPr>
          <w:b/>
          <w:bCs/>
          <w:lang w:val="nl-NL"/>
        </w:rPr>
        <w:t>(iv)</w:t>
      </w:r>
      <w:r w:rsidRPr="0086270C">
        <w:rPr>
          <w:bCs/>
          <w:lang w:val="nl-NL"/>
        </w:rPr>
        <w:t xml:space="preserve"> Quỹ đầu tư phát triển địa phương và </w:t>
      </w:r>
      <w:r w:rsidRPr="0086270C">
        <w:rPr>
          <w:b/>
          <w:bCs/>
          <w:lang w:val="nl-NL"/>
        </w:rPr>
        <w:t>(v)</w:t>
      </w:r>
      <w:r w:rsidRPr="0086270C">
        <w:rPr>
          <w:bCs/>
          <w:lang w:val="nl-NL"/>
        </w:rPr>
        <w:t xml:space="preserve"> một số quỹ tài chính nhà nước ngoài ngân sách tại địa phương.</w:t>
      </w:r>
    </w:p>
    <w:p w:rsidR="00893B24" w:rsidRDefault="00893B24" w:rsidP="0086270C">
      <w:pPr>
        <w:widowControl w:val="0"/>
        <w:spacing w:before="120" w:after="120" w:line="360" w:lineRule="exact"/>
        <w:ind w:firstLine="720"/>
        <w:jc w:val="both"/>
        <w:rPr>
          <w:b/>
          <w:bCs/>
          <w:i/>
        </w:rPr>
      </w:pPr>
    </w:p>
    <w:p w:rsidR="00D9236C" w:rsidRPr="0086270C" w:rsidRDefault="00DE4343" w:rsidP="0086270C">
      <w:pPr>
        <w:widowControl w:val="0"/>
        <w:spacing w:before="120" w:after="120" w:line="360" w:lineRule="exact"/>
        <w:ind w:firstLine="720"/>
        <w:jc w:val="both"/>
        <w:rPr>
          <w:b/>
          <w:bCs/>
          <w:i/>
        </w:rPr>
      </w:pPr>
      <w:r w:rsidRPr="0086270C">
        <w:rPr>
          <w:b/>
          <w:bCs/>
          <w:i/>
        </w:rPr>
        <w:lastRenderedPageBreak/>
        <w:t>2.3.</w:t>
      </w:r>
      <w:r w:rsidR="00D9236C" w:rsidRPr="0086270C">
        <w:rPr>
          <w:b/>
          <w:bCs/>
          <w:i/>
        </w:rPr>
        <w:t xml:space="preserve"> Quy định về thành lập quỹ phát triển nhà ở</w:t>
      </w:r>
    </w:p>
    <w:p w:rsidR="00D9236C" w:rsidRPr="0086270C" w:rsidRDefault="00D9236C" w:rsidP="0086270C">
      <w:pPr>
        <w:widowControl w:val="0"/>
        <w:spacing w:before="120" w:after="120" w:line="360" w:lineRule="exact"/>
        <w:ind w:firstLine="720"/>
        <w:jc w:val="both"/>
        <w:rPr>
          <w:lang w:val="en-US"/>
        </w:rPr>
      </w:pPr>
      <w:r w:rsidRPr="0086270C">
        <w:rPr>
          <w:lang w:val="en-US"/>
        </w:rPr>
        <w:t>- Luật Nhà ở năm 2005 (đã hết hiệu lực thi hành từ ngày 01/07/2015) và các văn bản hướng dẫn</w:t>
      </w:r>
      <w:r w:rsidRPr="0086270C">
        <w:rPr>
          <w:rStyle w:val="FootnoteReference"/>
          <w:rFonts w:eastAsia="Arial"/>
        </w:rPr>
        <w:footnoteReference w:id="1"/>
      </w:r>
      <w:r w:rsidRPr="0086270C">
        <w:rPr>
          <w:lang w:val="en-US"/>
        </w:rPr>
        <w:t xml:space="preserve"> quy định </w:t>
      </w:r>
      <w:r w:rsidRPr="0086270C">
        <w:rPr>
          <w:i/>
          <w:iCs/>
          <w:lang w:val="en-US"/>
        </w:rPr>
        <w:t>Quỹ phát triển nhà ở là tổ chức tài chính nhà nước tại địa phương, được cấp vốn từ ngân sách nhà nước và thực hiện chức năng huy động vốn và cho vay đối với các dự án phát triển nhà ở xã hội.</w:t>
      </w:r>
    </w:p>
    <w:p w:rsidR="00D9236C" w:rsidRPr="0086270C" w:rsidRDefault="00D9236C" w:rsidP="000B4F3B">
      <w:pPr>
        <w:widowControl w:val="0"/>
        <w:spacing w:before="100" w:after="100" w:line="334" w:lineRule="exact"/>
        <w:ind w:firstLine="720"/>
        <w:jc w:val="both"/>
        <w:rPr>
          <w:lang w:val="en-US"/>
        </w:rPr>
      </w:pPr>
      <w:r w:rsidRPr="0086270C">
        <w:rPr>
          <w:lang w:val="en-US"/>
        </w:rPr>
        <w:t xml:space="preserve">- </w:t>
      </w:r>
      <w:r w:rsidR="009B46BD" w:rsidRPr="00544F62">
        <w:rPr>
          <w:lang w:val="en-US"/>
        </w:rPr>
        <w:t>Do hoạt động của các quỹ phát triển nhà ở thành lập theo Luật Nhà ở năm 2005 chưa hiệu quả, quy mô hoạt động nhỏ</w:t>
      </w:r>
      <w:r w:rsidR="009B46BD">
        <w:rPr>
          <w:lang w:val="en-US"/>
        </w:rPr>
        <w:t>, không phát huy được chức năng huy động vốn và cho vay đối với các dự án phát triển nhà ở xã hội</w:t>
      </w:r>
      <w:r w:rsidR="009B46BD" w:rsidRPr="00544F62">
        <w:rPr>
          <w:lang w:val="en-US"/>
        </w:rPr>
        <w:t xml:space="preserve">, nên Luật Nhà ở năm 2014 (có hiệu lực thi hành từ ngày 01/07/2015) không còn quy định về việc tổ chức và thành lập Quỹ phát triển nhà ở tại các địa phương. </w:t>
      </w:r>
      <w:r w:rsidRPr="0086270C">
        <w:rPr>
          <w:lang w:val="en-US"/>
        </w:rPr>
        <w:t>Tuy nhiên, Điều 83 Nghị định số 99/2015/NĐ-CP ngày 20/10/2015 của Chính phủ quy định chi tiết và hướng dẫn thi hành một số điều của Luật Nhà ở quy định về xử lý chuyển tiếp đối với Quỹ phát triển nhà ở theo hướng (i) Quỹ đã được thành lập trước khi Nghị định 99/2015/NĐ-CP có hiệu lực thì được tiếp tục hoạt động (ii) Đối với địa phương chưa thành lập Quỹ, nếu có nhu cầu thì báo cáo Thủ tướng Chính phủ xem xét, quyết định</w:t>
      </w:r>
      <w:r w:rsidRPr="0086270C">
        <w:rPr>
          <w:rStyle w:val="FootnoteReference"/>
          <w:rFonts w:eastAsia="Arial"/>
        </w:rPr>
        <w:footnoteReference w:id="2"/>
      </w:r>
      <w:r w:rsidRPr="0086270C">
        <w:rPr>
          <w:lang w:val="en-US"/>
        </w:rPr>
        <w:t>. Sau khi Nghị định số 99/2015/NĐ-CP, Bộ Xây dựng không có văn bản hướng dẫn về tổ chức, hoạt động của Quỹ phát triển nhà ở nên không có Quỹ phát triển nhà ở được thành lập mới tại các địa phương.</w:t>
      </w:r>
    </w:p>
    <w:p w:rsidR="00D9236C" w:rsidRDefault="00D9236C" w:rsidP="0086270C">
      <w:pPr>
        <w:widowControl w:val="0"/>
        <w:spacing w:before="120" w:after="120" w:line="360" w:lineRule="exact"/>
        <w:ind w:firstLine="720"/>
        <w:jc w:val="both"/>
        <w:rPr>
          <w:lang w:val="vi-VN"/>
        </w:rPr>
      </w:pPr>
      <w:r w:rsidRPr="0086270C">
        <w:rPr>
          <w:lang w:val="en-US"/>
        </w:rPr>
        <w:t>- Luật Nhà ở năm 2023 (có hiệu lực thi hành từ ngày 01/8/2024) tiếp tục không quy định về việc tổ chức và thành lập Quỹ phát triển nhà ở.</w:t>
      </w:r>
    </w:p>
    <w:p w:rsidR="008737C4" w:rsidRDefault="008737C4" w:rsidP="008737C4">
      <w:pPr>
        <w:widowControl w:val="0"/>
        <w:spacing w:before="120" w:after="120" w:line="360" w:lineRule="exact"/>
        <w:ind w:firstLine="720"/>
        <w:jc w:val="both"/>
        <w:rPr>
          <w:lang w:val="vi-VN"/>
        </w:rPr>
      </w:pPr>
      <w:r>
        <w:rPr>
          <w:lang w:val="vi-VN"/>
        </w:rPr>
        <w:t>Theo đó, theo quy định của Luật nhà ở 2023, không có căn cứ pháp lý cho việc thành lập Quỹ phát triển nhà ở.</w:t>
      </w:r>
    </w:p>
    <w:p w:rsidR="00D9236C" w:rsidRPr="000B4F3B" w:rsidRDefault="00D9236C" w:rsidP="008737C4">
      <w:pPr>
        <w:widowControl w:val="0"/>
        <w:spacing w:before="120" w:after="120" w:line="360" w:lineRule="exact"/>
        <w:ind w:firstLine="720"/>
        <w:jc w:val="both"/>
        <w:rPr>
          <w:b/>
        </w:rPr>
      </w:pPr>
      <w:r w:rsidRPr="000B4F3B">
        <w:rPr>
          <w:b/>
        </w:rPr>
        <w:t>II. QU</w:t>
      </w:r>
      <w:r w:rsidR="00896898" w:rsidRPr="000B4F3B">
        <w:rPr>
          <w:b/>
          <w:lang w:val="vi-VN"/>
        </w:rPr>
        <w:t>Á</w:t>
      </w:r>
      <w:r w:rsidRPr="000B4F3B">
        <w:rPr>
          <w:b/>
        </w:rPr>
        <w:t xml:space="preserve"> TRÌNH XÂY DỰNG</w:t>
      </w:r>
    </w:p>
    <w:p w:rsidR="00896898" w:rsidRDefault="00896898" w:rsidP="00896898">
      <w:pPr>
        <w:spacing w:before="120" w:after="120" w:line="360" w:lineRule="exact"/>
        <w:ind w:firstLine="720"/>
        <w:jc w:val="both"/>
        <w:rPr>
          <w:lang w:val="vi-VN"/>
        </w:rPr>
      </w:pPr>
      <w:r w:rsidRPr="000B4F3B">
        <w:rPr>
          <w:b/>
          <w:lang w:val="vi-VN"/>
        </w:rPr>
        <w:t>1.</w:t>
      </w:r>
      <w:r w:rsidR="000B4F3B">
        <w:rPr>
          <w:lang w:val="en-US"/>
        </w:rPr>
        <w:t xml:space="preserve"> </w:t>
      </w:r>
      <w:r w:rsidR="00601684" w:rsidRPr="00896898">
        <w:rPr>
          <w:lang w:val="nl-NL"/>
        </w:rPr>
        <w:t xml:space="preserve">Ngày 8/3/2024, </w:t>
      </w:r>
      <w:r w:rsidR="00793518" w:rsidRPr="00896898">
        <w:rPr>
          <w:lang w:val="nl-NL"/>
        </w:rPr>
        <w:t>Bộ Tài chính có Công văn số 2382/BTC-TCNH báo cáo Lãnh đạo Chính phủ về tình hình triển khai Nghị quyết số 33/NQ-CP</w:t>
      </w:r>
      <w:r w:rsidR="00601684" w:rsidRPr="0086270C">
        <w:rPr>
          <w:rStyle w:val="FootnoteReference"/>
          <w:lang w:val="nl-NL"/>
        </w:rPr>
        <w:footnoteReference w:id="3"/>
      </w:r>
      <w:r w:rsidR="00793518" w:rsidRPr="00896898">
        <w:rPr>
          <w:lang w:val="nl-NL"/>
        </w:rPr>
        <w:t xml:space="preserve">, đối với đề xuất thành lập Quỹ nhà ở xã hội, Bộ Tài chính đã báo cáo việc không đủ căn cứ pháp lý hiện hành và chưa có nguồn để thành lâp Quỹ nhà ở xã hội. </w:t>
      </w:r>
    </w:p>
    <w:p w:rsidR="00D9236C" w:rsidRPr="00896898" w:rsidRDefault="00793518" w:rsidP="00896898">
      <w:pPr>
        <w:spacing w:before="120" w:after="120" w:line="360" w:lineRule="exact"/>
        <w:ind w:firstLine="720"/>
        <w:jc w:val="both"/>
        <w:rPr>
          <w:lang w:val="nl-NL"/>
        </w:rPr>
      </w:pPr>
      <w:r w:rsidRPr="00896898">
        <w:rPr>
          <w:lang w:val="nl-NL"/>
        </w:rPr>
        <w:lastRenderedPageBreak/>
        <w:t>Ngày 12/3/2024, Văn phòng Chính phủ có phiếu chuyển số 538/PC-VPCP chuyển Bộ Xây dựng để xử lý nội dung báo cáo của Bộ Tài chính tại Công văn số 2382/BTC-TCNH.</w:t>
      </w:r>
    </w:p>
    <w:p w:rsidR="00896898" w:rsidRDefault="00793518" w:rsidP="0086270C">
      <w:pPr>
        <w:spacing w:before="120" w:after="120" w:line="360" w:lineRule="exact"/>
        <w:ind w:firstLine="720"/>
        <w:jc w:val="both"/>
        <w:rPr>
          <w:lang w:val="vi-VN"/>
        </w:rPr>
      </w:pPr>
      <w:r w:rsidRPr="0086270C">
        <w:rPr>
          <w:lang w:val="nl-NL"/>
        </w:rPr>
        <w:t xml:space="preserve">- </w:t>
      </w:r>
      <w:r w:rsidR="00601684" w:rsidRPr="0086270C">
        <w:rPr>
          <w:lang w:val="nl-NL"/>
        </w:rPr>
        <w:t xml:space="preserve">Ngày 16/12/2024, Bộ Tài chính có Công văn số 13785/BTC-TCNH báo cáo Lãnh đạo Chính phủ về tình hình thực hiện Nghị quyết số 33/NQ-CP trong năm 2023 và năm 2024, trong đó Bộ Tài chính tiếp tục báo cáo </w:t>
      </w:r>
      <w:r w:rsidR="00896898" w:rsidRPr="0086270C">
        <w:rPr>
          <w:lang w:val="nl-NL"/>
        </w:rPr>
        <w:t>hiện chưa đủ cơ sở pháp lý và điều kiện thực tiễn triển khai</w:t>
      </w:r>
      <w:r w:rsidR="00601684" w:rsidRPr="0086270C">
        <w:rPr>
          <w:lang w:val="nl-NL"/>
        </w:rPr>
        <w:t xml:space="preserve"> việc nghiên cứu hình thành quỹ phát triển nhà ở xã hội hoặc mô hình định chế tài chính phù hợp để phát triển nhà ở xã hội dài hạn, bền vững </w:t>
      </w:r>
    </w:p>
    <w:p w:rsidR="00601684" w:rsidRPr="0086270C" w:rsidRDefault="00601684" w:rsidP="0086270C">
      <w:pPr>
        <w:spacing w:before="120" w:after="120" w:line="360" w:lineRule="exact"/>
        <w:ind w:firstLine="720"/>
        <w:jc w:val="both"/>
        <w:rPr>
          <w:lang w:val="nl-NL"/>
        </w:rPr>
      </w:pPr>
      <w:r w:rsidRPr="0086270C">
        <w:rPr>
          <w:b/>
          <w:bCs/>
          <w:lang w:val="nl-NL"/>
        </w:rPr>
        <w:t>2.</w:t>
      </w:r>
      <w:r w:rsidRPr="0086270C">
        <w:rPr>
          <w:lang w:val="nl-NL"/>
        </w:rPr>
        <w:t xml:space="preserve"> Ngày 19/12/2024, Bộ Tài chính có Công văn số 13919/BTC-TCNH gửi lấy ý kiến các Bộ, ngành, các ngân hàng chính sách và một số địa phương đối với dự thảo công văn báo cáo Lãnh đạo Chính phủ về nghiên cứu định chế tài chính cho phát triển nhà ở xã hội</w:t>
      </w:r>
      <w:r w:rsidR="00896898">
        <w:rPr>
          <w:lang w:val="vi-VN"/>
        </w:rPr>
        <w:t xml:space="preserve"> để triển khai Chỉ thị số 34-CT/TW ngày 24/5/2024 của Ban Bí thư</w:t>
      </w:r>
      <w:r w:rsidRPr="0086270C">
        <w:rPr>
          <w:lang w:val="nl-NL"/>
        </w:rPr>
        <w:t>.</w:t>
      </w:r>
    </w:p>
    <w:p w:rsidR="00793518" w:rsidRPr="0086270C" w:rsidRDefault="00601684" w:rsidP="0086270C">
      <w:pPr>
        <w:spacing w:before="120" w:after="120" w:line="360" w:lineRule="exact"/>
        <w:ind w:firstLine="720"/>
        <w:jc w:val="both"/>
        <w:rPr>
          <w:lang w:val="nl-NL"/>
        </w:rPr>
      </w:pPr>
      <w:r w:rsidRPr="0086270C">
        <w:rPr>
          <w:b/>
          <w:bCs/>
          <w:lang w:val="nl-NL"/>
        </w:rPr>
        <w:t>3.</w:t>
      </w:r>
      <w:r w:rsidRPr="0086270C">
        <w:rPr>
          <w:lang w:val="nl-NL"/>
        </w:rPr>
        <w:t xml:space="preserve"> Tính đến ngày </w:t>
      </w:r>
      <w:r w:rsidR="00896898">
        <w:rPr>
          <w:lang w:val="vi-VN"/>
        </w:rPr>
        <w:t>30</w:t>
      </w:r>
      <w:r w:rsidRPr="0086270C">
        <w:rPr>
          <w:lang w:val="nl-NL"/>
        </w:rPr>
        <w:t xml:space="preserve">/12/2024, Bộ Tài chính nhận được ý kiến của NHNN, </w:t>
      </w:r>
      <w:r w:rsidR="00896898">
        <w:rPr>
          <w:lang w:val="vi-VN"/>
        </w:rPr>
        <w:t xml:space="preserve">UBND </w:t>
      </w:r>
      <w:r w:rsidR="00896898" w:rsidRPr="00083F4D">
        <w:rPr>
          <w:lang w:val="vi-VN"/>
        </w:rPr>
        <w:t>tỉnh Bắc Ninh</w:t>
      </w:r>
      <w:r w:rsidRPr="0086270C">
        <w:rPr>
          <w:lang w:val="nl-NL"/>
        </w:rPr>
        <w:t xml:space="preserve"> đối với dự thảo báo cáo.</w:t>
      </w:r>
    </w:p>
    <w:p w:rsidR="006E3BFA" w:rsidRPr="0086270C" w:rsidRDefault="0055701D" w:rsidP="0086270C">
      <w:pPr>
        <w:pStyle w:val="Heading1"/>
        <w:spacing w:before="120" w:after="120" w:line="360" w:lineRule="exact"/>
        <w:rPr>
          <w:color w:val="auto"/>
        </w:rPr>
      </w:pPr>
      <w:r w:rsidRPr="0086270C">
        <w:rPr>
          <w:color w:val="auto"/>
        </w:rPr>
        <w:t>I</w:t>
      </w:r>
      <w:r w:rsidR="00601684" w:rsidRPr="0086270C">
        <w:rPr>
          <w:color w:val="auto"/>
        </w:rPr>
        <w:t>I</w:t>
      </w:r>
      <w:r w:rsidRPr="0086270C">
        <w:rPr>
          <w:color w:val="auto"/>
        </w:rPr>
        <w:t xml:space="preserve">I. </w:t>
      </w:r>
      <w:r w:rsidR="00601684" w:rsidRPr="0086270C">
        <w:rPr>
          <w:color w:val="auto"/>
        </w:rPr>
        <w:t>NỘI DUNG ĐỀ ÁN</w:t>
      </w:r>
    </w:p>
    <w:p w:rsidR="00601684" w:rsidRPr="0086270C" w:rsidRDefault="0055701D" w:rsidP="0086270C">
      <w:pPr>
        <w:pStyle w:val="Heading2"/>
      </w:pPr>
      <w:r w:rsidRPr="0086270C">
        <w:t xml:space="preserve">1. </w:t>
      </w:r>
      <w:r w:rsidR="00601684" w:rsidRPr="0086270C">
        <w:t>Tổng quan</w:t>
      </w:r>
    </w:p>
    <w:p w:rsidR="008E2007" w:rsidRPr="0086270C" w:rsidRDefault="008E2007" w:rsidP="0086270C">
      <w:pPr>
        <w:spacing w:before="120" w:after="120" w:line="360" w:lineRule="exact"/>
        <w:ind w:firstLine="680"/>
        <w:jc w:val="both"/>
        <w:rPr>
          <w:bCs/>
          <w:iCs/>
          <w:noProof w:val="0"/>
          <w:lang w:val="fr-FR"/>
        </w:rPr>
      </w:pPr>
      <w:r w:rsidRPr="0086270C">
        <w:rPr>
          <w:bCs/>
          <w:iCs/>
          <w:noProof w:val="0"/>
          <w:lang w:val="fr-FR"/>
        </w:rPr>
        <w:t>Chỉ đạo của Bộ Chính trị, Ban Bí thư, và Chính phủ đã xác định nhiệm vụ trọng tâm trong phát triển nhà ở xã hội, đảm bảo nhu cầu nhà ở, an sinh xã hội cho người dân</w:t>
      </w:r>
      <w:r w:rsidR="00896898">
        <w:rPr>
          <w:bCs/>
          <w:iCs/>
          <w:noProof w:val="0"/>
          <w:lang w:val="vi-VN"/>
        </w:rPr>
        <w:t xml:space="preserve"> và coi đây là nhiệm vụ ưu tiên</w:t>
      </w:r>
      <w:r w:rsidRPr="0086270C">
        <w:rPr>
          <w:bCs/>
          <w:iCs/>
          <w:noProof w:val="0"/>
          <w:lang w:val="fr-FR"/>
        </w:rPr>
        <w:t xml:space="preserve">. </w:t>
      </w:r>
      <w:r w:rsidR="00896898">
        <w:rPr>
          <w:bCs/>
          <w:iCs/>
          <w:noProof w:val="0"/>
          <w:lang w:val="vi-VN"/>
        </w:rPr>
        <w:t>Trong các năm vừa qua, c</w:t>
      </w:r>
      <w:r w:rsidRPr="0086270C">
        <w:rPr>
          <w:bCs/>
          <w:iCs/>
          <w:noProof w:val="0"/>
          <w:lang w:val="fr-FR"/>
        </w:rPr>
        <w:t>ông tác phát triển nhà ở xã hội được Nhà nước quan tâm và được triển khai đồng bộ thông qua các chính sách từ trung ương đến địa phương</w:t>
      </w:r>
      <w:r w:rsidR="00896898">
        <w:rPr>
          <w:bCs/>
          <w:iCs/>
          <w:noProof w:val="0"/>
          <w:lang w:val="vi-VN"/>
        </w:rPr>
        <w:t xml:space="preserve"> trên phạm vi cả nước</w:t>
      </w:r>
      <w:r w:rsidRPr="0086270C">
        <w:rPr>
          <w:bCs/>
          <w:iCs/>
          <w:noProof w:val="0"/>
          <w:lang w:val="fr-FR"/>
        </w:rPr>
        <w:t xml:space="preserve">. </w:t>
      </w:r>
    </w:p>
    <w:p w:rsidR="008E2007" w:rsidRPr="0086270C" w:rsidRDefault="00896898" w:rsidP="0086270C">
      <w:pPr>
        <w:spacing w:before="120" w:after="120" w:line="360" w:lineRule="exact"/>
        <w:ind w:firstLine="680"/>
        <w:jc w:val="both"/>
        <w:rPr>
          <w:bCs/>
          <w:iCs/>
          <w:noProof w:val="0"/>
          <w:lang w:val="fr-FR"/>
        </w:rPr>
      </w:pPr>
      <w:r>
        <w:rPr>
          <w:bCs/>
          <w:iCs/>
          <w:noProof w:val="0"/>
          <w:lang w:val="vi-VN"/>
        </w:rPr>
        <w:t>Sau khi</w:t>
      </w:r>
      <w:r w:rsidR="008E2007" w:rsidRPr="0086270C">
        <w:rPr>
          <w:bCs/>
          <w:iCs/>
          <w:noProof w:val="0"/>
          <w:lang w:val="fr-FR"/>
        </w:rPr>
        <w:t xml:space="preserve"> Luật Nhà ở năm 2014 có hiệu lực thi hành (1/7/2015), để triển khai Luật Nhà ở, Chính phủ đã ban hành theo thẩm quyền các Nghị định quy định chi tiết về phát triển và quản lý nhà ở xã hội (Nghị định số 100/2015/NĐ-CP ngày 20/10/2015, Nghị định số 49/2021/NĐ-CP ngày 01/4/2021, Nghị định số 35/2023/NĐ-CP ngày 20/6/2023). Tuy nhiên, qua 9 năm tổ chức triển khai thi hành Luật Nhà ở năm 2014 và các Nghị định nêu trên cho thấy còn nhiều bất cập trong việc phát triển nhà ở xã hội, trong đó có việc huy động đảm bảo nguồn lực cho đầu tư xây dựng, cho vay mua, thuê mua nhà ở xã hội. </w:t>
      </w:r>
    </w:p>
    <w:p w:rsidR="008E2007" w:rsidRPr="0086270C" w:rsidRDefault="008E2007" w:rsidP="0086270C">
      <w:pPr>
        <w:spacing w:before="120" w:after="120" w:line="360" w:lineRule="exact"/>
        <w:ind w:firstLine="680"/>
        <w:jc w:val="both"/>
        <w:rPr>
          <w:noProof w:val="0"/>
          <w:lang w:val="en-US"/>
        </w:rPr>
      </w:pPr>
      <w:r w:rsidRPr="0086270C">
        <w:rPr>
          <w:bCs/>
          <w:iCs/>
          <w:noProof w:val="0"/>
          <w:lang w:val="fr-FR"/>
        </w:rPr>
        <w:t xml:space="preserve">Ngày 03/4/2023, Thủ tướng Chính phủ đã ban hành Quyết định số 388/QĐ-TTg phê duyệt Đề án </w:t>
      </w:r>
      <w:r w:rsidRPr="0086270C">
        <w:rPr>
          <w:bCs/>
          <w:i/>
          <w:iCs/>
          <w:noProof w:val="0"/>
          <w:lang w:val="fr-FR"/>
        </w:rPr>
        <w:t>"Đầu tư xây dựng ít nhất 1 triệu căn hộ nhà ở xã hội cho đối tượng thu nhập thấp, công nhân khu công nghiệp giai đoạn 2021 - 2030"</w:t>
      </w:r>
      <w:r w:rsidRPr="0086270C">
        <w:rPr>
          <w:bCs/>
          <w:iCs/>
          <w:noProof w:val="0"/>
          <w:lang w:val="fr-FR"/>
        </w:rPr>
        <w:t xml:space="preserve">, theo đó mục tiêu đến năm 2030 phải hoàn thành đầu tư xây dựng khoảng 1,06 triệu căn hộ nhà ở xã hội. Theo đó, </w:t>
      </w:r>
      <w:r w:rsidRPr="0086270C">
        <w:rPr>
          <w:noProof w:val="0"/>
          <w:lang w:val="en-US"/>
        </w:rPr>
        <w:t xml:space="preserve">Đề án xác </w:t>
      </w:r>
      <w:r w:rsidRPr="0086270C">
        <w:rPr>
          <w:lang w:val="fr-FR"/>
        </w:rPr>
        <w:t xml:space="preserve">định nhu cầu vốn phát triển nhà ở xã hội đến năm 2030 là 505.306 tỷ đồng (trong đó bao gồm một số nguồn </w:t>
      </w:r>
      <w:r w:rsidRPr="0086270C">
        <w:rPr>
          <w:lang w:val="fr-FR"/>
        </w:rPr>
        <w:lastRenderedPageBreak/>
        <w:t xml:space="preserve">vốn như vốn chủ sở hữu, vốn tín dụng hỗ trợ chủ đầu tư, vốn huy động từ người mua nhà…) để triển khai hoàn thành khoảng 1.062.200 căn hộ tại địa phương (trong đó, giai đoạn 2021 - 2025 hoàn thành khoảng 428.000 căn; giai đoạn 2025 - 2030 hoàn thành khoảng 634.200 căn). </w:t>
      </w:r>
      <w:r w:rsidRPr="0086270C">
        <w:rPr>
          <w:noProof w:val="0"/>
          <w:lang w:val="en-US"/>
        </w:rPr>
        <w:t>Mặc dù có nhiều địa phương đã tích cực trong việc thu hút đầu tư, thúc đẩy khởi công xây dựng nhà ở xã hội</w:t>
      </w:r>
      <w:r w:rsidRPr="0086270C">
        <w:rPr>
          <w:noProof w:val="0"/>
          <w:vertAlign w:val="superscript"/>
          <w:lang w:val="en-US"/>
        </w:rPr>
        <w:footnoteReference w:id="4"/>
      </w:r>
      <w:r w:rsidRPr="0086270C">
        <w:rPr>
          <w:noProof w:val="0"/>
          <w:lang w:val="en-US"/>
        </w:rPr>
        <w:t>, tuy nhiên một số địa phương có nhu cầu về nhà ở xã hội rất lớn, nhưng việc đầu tư nhà ở xã hội còn hạn chế so với mục tiêu của Đề án đến năm 2025</w:t>
      </w:r>
      <w:r w:rsidRPr="0086270C">
        <w:rPr>
          <w:noProof w:val="0"/>
          <w:vertAlign w:val="superscript"/>
          <w:lang w:val="en-US"/>
        </w:rPr>
        <w:footnoteReference w:id="5"/>
      </w:r>
      <w:r w:rsidRPr="0086270C">
        <w:rPr>
          <w:noProof w:val="0"/>
          <w:lang w:val="en-US"/>
        </w:rPr>
        <w:t>, hoặc một số địa phương không có dự án nhà ở xã hội khởi công trong giai đoạn từ năm 2021 đến nay</w:t>
      </w:r>
      <w:r w:rsidRPr="0086270C">
        <w:rPr>
          <w:noProof w:val="0"/>
          <w:vertAlign w:val="superscript"/>
          <w:lang w:val="en-US"/>
        </w:rPr>
        <w:footnoteReference w:id="6"/>
      </w:r>
      <w:r w:rsidRPr="0086270C">
        <w:rPr>
          <w:noProof w:val="0"/>
          <w:lang w:val="en-US"/>
        </w:rPr>
        <w:t xml:space="preserve">. </w:t>
      </w:r>
    </w:p>
    <w:p w:rsidR="006169C4" w:rsidRPr="0086270C" w:rsidRDefault="0001704E" w:rsidP="0086270C">
      <w:pPr>
        <w:spacing w:before="120" w:after="120" w:line="360" w:lineRule="exact"/>
        <w:ind w:firstLine="680"/>
        <w:jc w:val="both"/>
        <w:rPr>
          <w:lang w:val="fr-FR"/>
        </w:rPr>
      </w:pPr>
      <w:r w:rsidRPr="0086270C">
        <w:rPr>
          <w:lang w:val="fr-FR"/>
        </w:rPr>
        <w:t xml:space="preserve">Để thực hiện mục tiêu nêu trên, thời gian vừa qua Chính phủ, Thủ tướng Chính phủ đã chỉ đạo các Bộ, ngành nghiên cứu có các nguồn vốn hỗ trợ, thúc đẩy phát triển nhà ở xã hội, </w:t>
      </w:r>
      <w:r w:rsidR="00896898">
        <w:rPr>
          <w:lang w:val="vi-VN"/>
        </w:rPr>
        <w:t>như</w:t>
      </w:r>
      <w:r w:rsidRPr="0086270C">
        <w:rPr>
          <w:lang w:val="fr-FR"/>
        </w:rPr>
        <w:t xml:space="preserve"> nguồn vốn 120.000 tỷ đồng theo Nghị quyết số 33/NQ-CP ngày 11/3/2023 của Chính phủ do các ngân hàng thương mại (NHTM) chủ động cân đối và nguồn vốn ngân sách</w:t>
      </w:r>
      <w:r w:rsidR="00896898">
        <w:rPr>
          <w:lang w:val="vi-VN"/>
        </w:rPr>
        <w:t xml:space="preserve"> hỗ trợ</w:t>
      </w:r>
      <w:r w:rsidRPr="0086270C">
        <w:rPr>
          <w:lang w:val="fr-FR"/>
        </w:rPr>
        <w:t xml:space="preserve"> thông qua Ngân hàng Chính sách xã hội (NHCSXH)</w:t>
      </w:r>
      <w:r w:rsidR="00896898">
        <w:rPr>
          <w:lang w:val="vi-VN"/>
        </w:rPr>
        <w:t>;</w:t>
      </w:r>
      <w:r w:rsidRPr="0086270C">
        <w:rPr>
          <w:lang w:val="fr-FR"/>
        </w:rPr>
        <w:t xml:space="preserve"> tuy nhiên</w:t>
      </w:r>
      <w:r w:rsidR="00896898">
        <w:rPr>
          <w:lang w:val="vi-VN"/>
        </w:rPr>
        <w:t>,</w:t>
      </w:r>
      <w:r w:rsidRPr="0086270C">
        <w:rPr>
          <w:lang w:val="fr-FR"/>
        </w:rPr>
        <w:t xml:space="preserve"> so với nhu cầu vốn đến năm 2030 được nêu tại Đề án 01 triệu căn nhà ở xã hội thì nguồn vốn 120.000 tỷ mới chiếm khoảng 24%. </w:t>
      </w:r>
    </w:p>
    <w:p w:rsidR="0001704E" w:rsidRPr="0086270C" w:rsidRDefault="0001704E" w:rsidP="0086270C">
      <w:pPr>
        <w:spacing w:before="120" w:after="120" w:line="360" w:lineRule="exact"/>
        <w:ind w:firstLine="680"/>
        <w:jc w:val="both"/>
        <w:rPr>
          <w:lang w:val="fr-FR"/>
        </w:rPr>
      </w:pPr>
      <w:r w:rsidRPr="0086270C">
        <w:rPr>
          <w:lang w:val="fr-FR"/>
        </w:rPr>
        <w:t>Do vậy, nhằm đảm bảo tính ổn định</w:t>
      </w:r>
      <w:r w:rsidR="00896898">
        <w:rPr>
          <w:lang w:val="vi-VN"/>
        </w:rPr>
        <w:t xml:space="preserve"> với</w:t>
      </w:r>
      <w:r w:rsidRPr="0086270C">
        <w:rPr>
          <w:lang w:val="fr-FR"/>
        </w:rPr>
        <w:t xml:space="preserve"> nguồn vốn</w:t>
      </w:r>
      <w:r w:rsidR="00896898">
        <w:rPr>
          <w:lang w:val="vi-VN"/>
        </w:rPr>
        <w:t xml:space="preserve"> đa dạng</w:t>
      </w:r>
      <w:r w:rsidRPr="0086270C">
        <w:rPr>
          <w:lang w:val="fr-FR"/>
        </w:rPr>
        <w:t xml:space="preserve"> hỗ trợ cho các đối tượng chính sách khó khăn về nhà ở và đảm bảo mục tiêu của Đề án thì việc nghiên cứu  cơ chế triển khai nguồn vốn phát triển nhà ở xã hội có tính bền vững, dài hạn là rất cần thiết</w:t>
      </w:r>
      <w:r w:rsidR="00896898">
        <w:rPr>
          <w:lang w:val="vi-VN"/>
        </w:rPr>
        <w:t>, cấp bách</w:t>
      </w:r>
      <w:r w:rsidRPr="0086270C">
        <w:rPr>
          <w:lang w:val="fr-FR"/>
        </w:rPr>
        <w:t xml:space="preserve"> trong thời điểm hiện nay.</w:t>
      </w:r>
    </w:p>
    <w:p w:rsidR="0001704E" w:rsidRDefault="0001704E" w:rsidP="0086270C">
      <w:pPr>
        <w:widowControl w:val="0"/>
        <w:spacing w:before="120" w:after="120" w:line="360" w:lineRule="exact"/>
        <w:ind w:firstLine="720"/>
        <w:jc w:val="both"/>
        <w:rPr>
          <w:b/>
          <w:lang w:val="nl-NL"/>
        </w:rPr>
      </w:pPr>
      <w:bookmarkStart w:id="0" w:name="_Hlk185172768"/>
      <w:r w:rsidRPr="0086270C">
        <w:rPr>
          <w:b/>
          <w:lang w:val="nl-NL"/>
        </w:rPr>
        <w:t>2. Tình hình triển khai nhiệm vụ phát triển nhà ở xã hội thông qua các quỹ tài chính, các định chế tài chính</w:t>
      </w:r>
    </w:p>
    <w:p w:rsidR="00FF5467" w:rsidRPr="0017307D" w:rsidRDefault="00FF5467" w:rsidP="0086270C">
      <w:pPr>
        <w:widowControl w:val="0"/>
        <w:spacing w:before="120" w:after="120" w:line="360" w:lineRule="exact"/>
        <w:ind w:firstLine="720"/>
        <w:jc w:val="both"/>
        <w:rPr>
          <w:lang w:val="nl-NL"/>
        </w:rPr>
      </w:pPr>
      <w:r w:rsidRPr="0017307D">
        <w:rPr>
          <w:lang w:val="nl-NL"/>
        </w:rPr>
        <w:t>Tổng hợp tình hình cho vay nhà ở xã hội đến ngày 20/11/20224 của các định chế tài chính</w:t>
      </w:r>
      <w:r w:rsidR="0017307D" w:rsidRPr="0017307D">
        <w:rPr>
          <w:rStyle w:val="FootnoteReference"/>
          <w:lang w:val="nl-NL"/>
        </w:rPr>
        <w:footnoteReference w:id="7"/>
      </w:r>
    </w:p>
    <w:tbl>
      <w:tblPr>
        <w:tblStyle w:val="TableGrid"/>
        <w:tblW w:w="0" w:type="auto"/>
        <w:tblLook w:val="04A0"/>
      </w:tblPr>
      <w:tblGrid>
        <w:gridCol w:w="1064"/>
        <w:gridCol w:w="3667"/>
        <w:gridCol w:w="2281"/>
        <w:gridCol w:w="2276"/>
      </w:tblGrid>
      <w:tr w:rsidR="00AD59FB" w:rsidRPr="00B37E51" w:rsidTr="0021746A">
        <w:tc>
          <w:tcPr>
            <w:tcW w:w="4741" w:type="dxa"/>
            <w:gridSpan w:val="2"/>
          </w:tcPr>
          <w:p w:rsidR="00AD59FB" w:rsidRPr="00B37E51" w:rsidRDefault="00AD59FB" w:rsidP="00B37E51">
            <w:pPr>
              <w:widowControl w:val="0"/>
              <w:spacing w:before="40" w:after="40"/>
              <w:jc w:val="both"/>
              <w:rPr>
                <w:b/>
                <w:lang w:val="nl-NL"/>
              </w:rPr>
            </w:pPr>
            <w:r w:rsidRPr="00B37E51">
              <w:rPr>
                <w:b/>
                <w:lang w:val="nl-NL"/>
              </w:rPr>
              <w:t>Các định chế tài chính triển khai chương trình nhà ở xã hội</w:t>
            </w:r>
          </w:p>
        </w:tc>
        <w:tc>
          <w:tcPr>
            <w:tcW w:w="2279" w:type="dxa"/>
          </w:tcPr>
          <w:p w:rsidR="00AD59FB" w:rsidRPr="00B37E51" w:rsidRDefault="00AD59FB" w:rsidP="00B37E51">
            <w:pPr>
              <w:widowControl w:val="0"/>
              <w:spacing w:before="40" w:after="40"/>
              <w:jc w:val="center"/>
              <w:rPr>
                <w:b/>
                <w:lang w:val="nl-NL"/>
              </w:rPr>
            </w:pPr>
            <w:r w:rsidRPr="00B37E51">
              <w:rPr>
                <w:b/>
                <w:lang w:val="nl-NL"/>
              </w:rPr>
              <w:t>Doanh số giải ngân cho vay</w:t>
            </w:r>
            <w:r w:rsidR="00FF5467" w:rsidRPr="00B37E51">
              <w:rPr>
                <w:b/>
                <w:lang w:val="nl-NL"/>
              </w:rPr>
              <w:t xml:space="preserve"> (tỷ đồng)</w:t>
            </w:r>
          </w:p>
        </w:tc>
        <w:tc>
          <w:tcPr>
            <w:tcW w:w="2268" w:type="dxa"/>
          </w:tcPr>
          <w:p w:rsidR="00AD59FB" w:rsidRPr="00B37E51" w:rsidRDefault="00AD59FB" w:rsidP="00242F15">
            <w:pPr>
              <w:widowControl w:val="0"/>
              <w:spacing w:before="40" w:after="40"/>
              <w:jc w:val="center"/>
              <w:rPr>
                <w:b/>
                <w:lang w:val="nl-NL"/>
              </w:rPr>
            </w:pPr>
            <w:r w:rsidRPr="00B37E51">
              <w:rPr>
                <w:b/>
                <w:lang w:val="nl-NL"/>
              </w:rPr>
              <w:t>D</w:t>
            </w:r>
            <w:r w:rsidR="00242F15">
              <w:rPr>
                <w:b/>
                <w:lang w:val="nl-NL"/>
              </w:rPr>
              <w:t>ư</w:t>
            </w:r>
            <w:r w:rsidRPr="00B37E51">
              <w:rPr>
                <w:b/>
                <w:lang w:val="nl-NL"/>
              </w:rPr>
              <w:t xml:space="preserve"> nợ cho vay </w:t>
            </w:r>
            <w:r w:rsidR="00FF5467" w:rsidRPr="00B37E51">
              <w:rPr>
                <w:b/>
                <w:lang w:val="nl-NL"/>
              </w:rPr>
              <w:t>(Tỷ đồng)</w:t>
            </w:r>
          </w:p>
        </w:tc>
      </w:tr>
      <w:tr w:rsidR="00AD59FB" w:rsidRPr="00B37E51" w:rsidTr="00FF5467">
        <w:tc>
          <w:tcPr>
            <w:tcW w:w="4741" w:type="dxa"/>
            <w:gridSpan w:val="2"/>
          </w:tcPr>
          <w:p w:rsidR="00AD59FB" w:rsidRPr="00B37E51" w:rsidRDefault="00AD59FB" w:rsidP="00B37E51">
            <w:pPr>
              <w:widowControl w:val="0"/>
              <w:spacing w:before="40" w:after="40"/>
              <w:jc w:val="both"/>
              <w:rPr>
                <w:b/>
                <w:lang w:val="nl-NL"/>
              </w:rPr>
            </w:pPr>
            <w:r w:rsidRPr="00B37E51">
              <w:rPr>
                <w:b/>
                <w:lang w:val="nl-NL"/>
              </w:rPr>
              <w:t>Ngân hàng Chính sách xã hội</w:t>
            </w:r>
          </w:p>
        </w:tc>
        <w:tc>
          <w:tcPr>
            <w:tcW w:w="2279" w:type="dxa"/>
          </w:tcPr>
          <w:p w:rsidR="00AD59FB" w:rsidRPr="00B37E51" w:rsidRDefault="0001789D" w:rsidP="00B37E51">
            <w:pPr>
              <w:widowControl w:val="0"/>
              <w:spacing w:before="40" w:after="40"/>
              <w:jc w:val="center"/>
              <w:rPr>
                <w:b/>
                <w:lang w:val="nl-NL"/>
              </w:rPr>
            </w:pPr>
            <w:r>
              <w:rPr>
                <w:b/>
                <w:lang w:val="nl-NL"/>
              </w:rPr>
              <w:t>32.333</w:t>
            </w:r>
          </w:p>
        </w:tc>
        <w:tc>
          <w:tcPr>
            <w:tcW w:w="2268" w:type="dxa"/>
          </w:tcPr>
          <w:p w:rsidR="00AD59FB" w:rsidRPr="00B37E51" w:rsidRDefault="0001789D" w:rsidP="00B37E51">
            <w:pPr>
              <w:widowControl w:val="0"/>
              <w:spacing w:before="40" w:after="40"/>
              <w:jc w:val="center"/>
              <w:rPr>
                <w:b/>
                <w:lang w:val="nl-NL"/>
              </w:rPr>
            </w:pPr>
            <w:r>
              <w:rPr>
                <w:b/>
                <w:lang w:val="nl-NL"/>
              </w:rPr>
              <w:t>27.554</w:t>
            </w:r>
          </w:p>
        </w:tc>
      </w:tr>
      <w:tr w:rsidR="006B2E57" w:rsidRPr="00A6106C" w:rsidTr="00AD59FB">
        <w:tc>
          <w:tcPr>
            <w:tcW w:w="1014" w:type="dxa"/>
          </w:tcPr>
          <w:p w:rsidR="006B2E57" w:rsidRPr="00A6106C" w:rsidRDefault="006B2E57" w:rsidP="00B37E51">
            <w:pPr>
              <w:widowControl w:val="0"/>
              <w:spacing w:before="40" w:after="40"/>
              <w:jc w:val="both"/>
              <w:rPr>
                <w:lang w:val="nl-NL"/>
              </w:rPr>
            </w:pPr>
          </w:p>
        </w:tc>
        <w:tc>
          <w:tcPr>
            <w:tcW w:w="3689" w:type="dxa"/>
          </w:tcPr>
          <w:p w:rsidR="006B2E57" w:rsidRPr="00B37E51" w:rsidRDefault="00A6106C" w:rsidP="00B37E51">
            <w:pPr>
              <w:widowControl w:val="0"/>
              <w:spacing w:before="40" w:after="40"/>
              <w:jc w:val="both"/>
              <w:rPr>
                <w:i/>
                <w:lang w:val="nl-NL"/>
              </w:rPr>
            </w:pPr>
            <w:r w:rsidRPr="00B37E51">
              <w:rPr>
                <w:i/>
                <w:lang w:val="nl-NL"/>
              </w:rPr>
              <w:t>Theo Nghị định số 100/2015/NĐ-CP, Nghị đính số 100/2024/NĐ-CP</w:t>
            </w:r>
          </w:p>
        </w:tc>
        <w:tc>
          <w:tcPr>
            <w:tcW w:w="2296" w:type="dxa"/>
          </w:tcPr>
          <w:p w:rsidR="006B2E57" w:rsidRPr="00B37E51" w:rsidRDefault="00FF5467" w:rsidP="00B37E51">
            <w:pPr>
              <w:widowControl w:val="0"/>
              <w:spacing w:before="40" w:after="40"/>
              <w:jc w:val="center"/>
              <w:rPr>
                <w:i/>
                <w:lang w:val="nl-NL"/>
              </w:rPr>
            </w:pPr>
            <w:r w:rsidRPr="00B37E51">
              <w:rPr>
                <w:i/>
                <w:lang w:val="nl-NL"/>
              </w:rPr>
              <w:t>22.052</w:t>
            </w:r>
          </w:p>
        </w:tc>
        <w:tc>
          <w:tcPr>
            <w:tcW w:w="2289" w:type="dxa"/>
          </w:tcPr>
          <w:p w:rsidR="006B2E57" w:rsidRPr="00B37E51" w:rsidRDefault="0017307D" w:rsidP="00B37E51">
            <w:pPr>
              <w:widowControl w:val="0"/>
              <w:spacing w:before="40" w:after="40"/>
              <w:jc w:val="center"/>
              <w:rPr>
                <w:i/>
                <w:lang w:val="nl-NL"/>
              </w:rPr>
            </w:pPr>
            <w:r w:rsidRPr="00B37E51">
              <w:rPr>
                <w:i/>
                <w:lang w:val="nl-NL"/>
              </w:rPr>
              <w:t>17.273</w:t>
            </w:r>
          </w:p>
        </w:tc>
      </w:tr>
      <w:tr w:rsidR="006B2E57" w:rsidRPr="00A6106C" w:rsidTr="00AD59FB">
        <w:tc>
          <w:tcPr>
            <w:tcW w:w="1014" w:type="dxa"/>
          </w:tcPr>
          <w:p w:rsidR="006B2E57" w:rsidRPr="00A6106C" w:rsidRDefault="006B2E57" w:rsidP="00B37E51">
            <w:pPr>
              <w:widowControl w:val="0"/>
              <w:spacing w:before="40" w:after="40"/>
              <w:jc w:val="both"/>
              <w:rPr>
                <w:lang w:val="nl-NL"/>
              </w:rPr>
            </w:pPr>
          </w:p>
        </w:tc>
        <w:tc>
          <w:tcPr>
            <w:tcW w:w="3689" w:type="dxa"/>
          </w:tcPr>
          <w:p w:rsidR="006B2E57" w:rsidRPr="00A6106C" w:rsidRDefault="00A6106C" w:rsidP="00B37E51">
            <w:pPr>
              <w:widowControl w:val="0"/>
              <w:spacing w:before="40" w:after="40"/>
              <w:jc w:val="both"/>
              <w:rPr>
                <w:lang w:val="nl-NL"/>
              </w:rPr>
            </w:pPr>
            <w:r w:rsidRPr="0086270C">
              <w:rPr>
                <w:i/>
                <w:iCs/>
                <w:lang w:val="fr-FR"/>
              </w:rPr>
              <w:t xml:space="preserve">Cho vay </w:t>
            </w:r>
            <w:r>
              <w:rPr>
                <w:i/>
                <w:iCs/>
                <w:lang w:val="vi-VN"/>
              </w:rPr>
              <w:t>theo</w:t>
            </w:r>
            <w:r w:rsidRPr="0086270C">
              <w:rPr>
                <w:i/>
                <w:iCs/>
                <w:lang w:val="fr-FR"/>
              </w:rPr>
              <w:t xml:space="preserve"> Nghị quyết số 11/NQ-CP</w:t>
            </w:r>
            <w:r w:rsidRPr="0086270C">
              <w:rPr>
                <w:lang w:val="fr-FR"/>
              </w:rPr>
              <w:t xml:space="preserve"> </w:t>
            </w:r>
            <w:r w:rsidRPr="0086270C">
              <w:rPr>
                <w:i/>
                <w:iCs/>
                <w:lang w:val="fr-FR"/>
              </w:rPr>
              <w:t>ngày 30/01/2022 về Chương trình phục hồi và phát triển kinh tế - xã hội</w:t>
            </w:r>
          </w:p>
        </w:tc>
        <w:tc>
          <w:tcPr>
            <w:tcW w:w="2296" w:type="dxa"/>
          </w:tcPr>
          <w:p w:rsidR="006B2E57" w:rsidRPr="00B37E51" w:rsidRDefault="0017307D" w:rsidP="00B37E51">
            <w:pPr>
              <w:widowControl w:val="0"/>
              <w:spacing w:before="40" w:after="40"/>
              <w:jc w:val="center"/>
              <w:rPr>
                <w:i/>
                <w:lang w:val="nl-NL"/>
              </w:rPr>
            </w:pPr>
            <w:r w:rsidRPr="00B37E51">
              <w:rPr>
                <w:i/>
                <w:lang w:val="nl-NL"/>
              </w:rPr>
              <w:t>10.281</w:t>
            </w:r>
          </w:p>
        </w:tc>
        <w:tc>
          <w:tcPr>
            <w:tcW w:w="2289" w:type="dxa"/>
          </w:tcPr>
          <w:p w:rsidR="006B2E57" w:rsidRPr="00B37E51" w:rsidRDefault="00084A35" w:rsidP="00B37E51">
            <w:pPr>
              <w:widowControl w:val="0"/>
              <w:spacing w:before="40" w:after="40"/>
              <w:jc w:val="center"/>
              <w:rPr>
                <w:i/>
                <w:lang w:val="nl-NL"/>
              </w:rPr>
            </w:pPr>
            <w:r w:rsidRPr="00B37E51">
              <w:rPr>
                <w:i/>
                <w:lang w:val="nl-NL"/>
              </w:rPr>
              <w:t>10.281</w:t>
            </w:r>
          </w:p>
        </w:tc>
      </w:tr>
      <w:tr w:rsidR="00FF5467" w:rsidRPr="00EB5330" w:rsidTr="00FF5467">
        <w:tc>
          <w:tcPr>
            <w:tcW w:w="4741" w:type="dxa"/>
            <w:gridSpan w:val="2"/>
          </w:tcPr>
          <w:p w:rsidR="00FF5467" w:rsidRPr="00EB5330" w:rsidRDefault="00FF5467" w:rsidP="00B37E51">
            <w:pPr>
              <w:widowControl w:val="0"/>
              <w:spacing w:before="40" w:after="40"/>
              <w:jc w:val="both"/>
              <w:rPr>
                <w:b/>
                <w:lang w:val="nl-NL"/>
              </w:rPr>
            </w:pPr>
            <w:r w:rsidRPr="00EB5330">
              <w:rPr>
                <w:b/>
                <w:lang w:val="nl-NL"/>
              </w:rPr>
              <w:t>Các ngân hàng thương mại</w:t>
            </w:r>
          </w:p>
        </w:tc>
        <w:tc>
          <w:tcPr>
            <w:tcW w:w="2296" w:type="dxa"/>
          </w:tcPr>
          <w:p w:rsidR="00FF5467" w:rsidRPr="00EB5330" w:rsidRDefault="00AF0B05" w:rsidP="00B37E51">
            <w:pPr>
              <w:widowControl w:val="0"/>
              <w:spacing w:before="40" w:after="40"/>
              <w:jc w:val="center"/>
              <w:rPr>
                <w:b/>
                <w:lang w:val="nl-NL"/>
              </w:rPr>
            </w:pPr>
            <w:r w:rsidRPr="00EB5330">
              <w:rPr>
                <w:b/>
                <w:lang w:val="nl-NL"/>
              </w:rPr>
              <w:t>32.039</w:t>
            </w:r>
          </w:p>
        </w:tc>
        <w:tc>
          <w:tcPr>
            <w:tcW w:w="2289" w:type="dxa"/>
          </w:tcPr>
          <w:p w:rsidR="00FF5467" w:rsidRPr="00EB5330" w:rsidRDefault="00AF0B05" w:rsidP="00B37E51">
            <w:pPr>
              <w:widowControl w:val="0"/>
              <w:spacing w:before="40" w:after="40"/>
              <w:jc w:val="center"/>
              <w:rPr>
                <w:b/>
                <w:lang w:val="nl-NL"/>
              </w:rPr>
            </w:pPr>
            <w:r w:rsidRPr="00EB5330">
              <w:rPr>
                <w:b/>
                <w:lang w:val="nl-NL"/>
              </w:rPr>
              <w:t>5.572</w:t>
            </w:r>
          </w:p>
        </w:tc>
      </w:tr>
      <w:tr w:rsidR="006B2E57" w:rsidRPr="00A6106C" w:rsidTr="00FF5467">
        <w:tc>
          <w:tcPr>
            <w:tcW w:w="1075" w:type="dxa"/>
          </w:tcPr>
          <w:p w:rsidR="006B2E57" w:rsidRPr="00A6106C" w:rsidRDefault="006B2E57" w:rsidP="00B37E51">
            <w:pPr>
              <w:widowControl w:val="0"/>
              <w:spacing w:before="40" w:after="40"/>
              <w:jc w:val="both"/>
              <w:rPr>
                <w:lang w:val="nl-NL"/>
              </w:rPr>
            </w:pPr>
          </w:p>
        </w:tc>
        <w:tc>
          <w:tcPr>
            <w:tcW w:w="3666" w:type="dxa"/>
          </w:tcPr>
          <w:p w:rsidR="006B2E57" w:rsidRPr="00B37E51" w:rsidRDefault="00C345D0" w:rsidP="00B37E51">
            <w:pPr>
              <w:widowControl w:val="0"/>
              <w:spacing w:before="40" w:after="40"/>
              <w:jc w:val="both"/>
              <w:rPr>
                <w:i/>
                <w:lang w:val="nl-NL"/>
              </w:rPr>
            </w:pPr>
            <w:r w:rsidRPr="00B37E51">
              <w:rPr>
                <w:i/>
                <w:lang w:val="nl-NL"/>
              </w:rPr>
              <w:t>Theo Nghị định số 100/2015/NĐ-CP, Nghị đính số 100/2024/NĐ-CP</w:t>
            </w:r>
          </w:p>
        </w:tc>
        <w:tc>
          <w:tcPr>
            <w:tcW w:w="2279" w:type="dxa"/>
          </w:tcPr>
          <w:p w:rsidR="006B2E57" w:rsidRPr="00B37E51" w:rsidRDefault="00084A35" w:rsidP="00B37E51">
            <w:pPr>
              <w:widowControl w:val="0"/>
              <w:spacing w:before="40" w:after="40"/>
              <w:jc w:val="center"/>
              <w:rPr>
                <w:i/>
                <w:lang w:val="nl-NL"/>
              </w:rPr>
            </w:pPr>
            <w:r w:rsidRPr="00B37E51">
              <w:rPr>
                <w:i/>
                <w:lang w:val="nl-NL"/>
              </w:rPr>
              <w:t>0</w:t>
            </w:r>
          </w:p>
        </w:tc>
        <w:tc>
          <w:tcPr>
            <w:tcW w:w="2268" w:type="dxa"/>
          </w:tcPr>
          <w:p w:rsidR="006B2E57" w:rsidRPr="00B37E51" w:rsidRDefault="00084A35" w:rsidP="00B37E51">
            <w:pPr>
              <w:widowControl w:val="0"/>
              <w:spacing w:before="40" w:after="40"/>
              <w:jc w:val="center"/>
              <w:rPr>
                <w:i/>
                <w:lang w:val="nl-NL"/>
              </w:rPr>
            </w:pPr>
            <w:r w:rsidRPr="00B37E51">
              <w:rPr>
                <w:i/>
                <w:lang w:val="nl-NL"/>
              </w:rPr>
              <w:t>0</w:t>
            </w:r>
          </w:p>
        </w:tc>
      </w:tr>
      <w:tr w:rsidR="006B2E57" w:rsidRPr="00A6106C" w:rsidTr="00FF5467">
        <w:tc>
          <w:tcPr>
            <w:tcW w:w="1075" w:type="dxa"/>
          </w:tcPr>
          <w:p w:rsidR="006B2E57" w:rsidRPr="00A6106C" w:rsidRDefault="006B2E57" w:rsidP="00B37E51">
            <w:pPr>
              <w:widowControl w:val="0"/>
              <w:spacing w:before="40" w:after="40"/>
              <w:jc w:val="both"/>
              <w:rPr>
                <w:lang w:val="nl-NL"/>
              </w:rPr>
            </w:pPr>
          </w:p>
        </w:tc>
        <w:tc>
          <w:tcPr>
            <w:tcW w:w="3666" w:type="dxa"/>
          </w:tcPr>
          <w:p w:rsidR="006B2E57" w:rsidRPr="00B37E51" w:rsidRDefault="00C345D0" w:rsidP="00B37E51">
            <w:pPr>
              <w:widowControl w:val="0"/>
              <w:spacing w:before="40" w:after="40"/>
              <w:jc w:val="both"/>
              <w:rPr>
                <w:i/>
                <w:lang w:val="nl-NL"/>
              </w:rPr>
            </w:pPr>
            <w:r w:rsidRPr="00B37E51">
              <w:rPr>
                <w:i/>
                <w:iCs/>
                <w:lang w:val="fr-FR"/>
              </w:rPr>
              <w:t>Gói nhà ở xã hội 30.000 tỷ đồng</w:t>
            </w:r>
          </w:p>
        </w:tc>
        <w:tc>
          <w:tcPr>
            <w:tcW w:w="2279" w:type="dxa"/>
          </w:tcPr>
          <w:p w:rsidR="006B2E57" w:rsidRPr="00B37E51" w:rsidRDefault="00084A35" w:rsidP="00B37E51">
            <w:pPr>
              <w:widowControl w:val="0"/>
              <w:spacing w:before="40" w:after="40"/>
              <w:jc w:val="center"/>
              <w:rPr>
                <w:i/>
                <w:lang w:val="nl-NL"/>
              </w:rPr>
            </w:pPr>
            <w:r w:rsidRPr="00B37E51">
              <w:rPr>
                <w:i/>
                <w:lang w:val="nl-NL"/>
              </w:rPr>
              <w:t>29.679</w:t>
            </w:r>
          </w:p>
        </w:tc>
        <w:tc>
          <w:tcPr>
            <w:tcW w:w="2268" w:type="dxa"/>
          </w:tcPr>
          <w:p w:rsidR="006B2E57" w:rsidRPr="00B37E51" w:rsidRDefault="00084A35" w:rsidP="00B37E51">
            <w:pPr>
              <w:widowControl w:val="0"/>
              <w:spacing w:before="40" w:after="40"/>
              <w:jc w:val="center"/>
              <w:rPr>
                <w:i/>
                <w:lang w:val="nl-NL"/>
              </w:rPr>
            </w:pPr>
            <w:r w:rsidRPr="00B37E51">
              <w:rPr>
                <w:i/>
                <w:lang w:val="nl-NL"/>
              </w:rPr>
              <w:t>3.212</w:t>
            </w:r>
          </w:p>
        </w:tc>
      </w:tr>
      <w:tr w:rsidR="006B2E57" w:rsidRPr="00A6106C" w:rsidTr="00FF5467">
        <w:tc>
          <w:tcPr>
            <w:tcW w:w="1075" w:type="dxa"/>
          </w:tcPr>
          <w:p w:rsidR="006B2E57" w:rsidRPr="00A6106C" w:rsidRDefault="006B2E57" w:rsidP="00B37E51">
            <w:pPr>
              <w:widowControl w:val="0"/>
              <w:spacing w:before="40" w:after="40"/>
              <w:jc w:val="both"/>
              <w:rPr>
                <w:lang w:val="nl-NL"/>
              </w:rPr>
            </w:pPr>
          </w:p>
        </w:tc>
        <w:tc>
          <w:tcPr>
            <w:tcW w:w="3666" w:type="dxa"/>
          </w:tcPr>
          <w:p w:rsidR="006B2E57" w:rsidRPr="00B37E51" w:rsidRDefault="00C345D0" w:rsidP="00B37E51">
            <w:pPr>
              <w:widowControl w:val="0"/>
              <w:spacing w:before="40" w:after="40"/>
              <w:jc w:val="both"/>
              <w:rPr>
                <w:i/>
                <w:lang w:val="nl-NL"/>
              </w:rPr>
            </w:pPr>
            <w:r w:rsidRPr="00B37E51">
              <w:rPr>
                <w:i/>
                <w:iCs/>
                <w:lang w:val="fr-FR"/>
              </w:rPr>
              <w:t>Chương trình cho vay nhà ở xã hội, nhà ở công nhân theo Nghị quyết số 33/NQ-CP</w:t>
            </w:r>
          </w:p>
        </w:tc>
        <w:tc>
          <w:tcPr>
            <w:tcW w:w="2279" w:type="dxa"/>
          </w:tcPr>
          <w:p w:rsidR="006B2E57" w:rsidRPr="00B37E51" w:rsidRDefault="00084A35" w:rsidP="00B37E51">
            <w:pPr>
              <w:widowControl w:val="0"/>
              <w:spacing w:before="40" w:after="40"/>
              <w:jc w:val="center"/>
              <w:rPr>
                <w:i/>
                <w:lang w:val="nl-NL"/>
              </w:rPr>
            </w:pPr>
            <w:r w:rsidRPr="00B37E51">
              <w:rPr>
                <w:i/>
                <w:lang w:val="nl-NL"/>
              </w:rPr>
              <w:t>2.360</w:t>
            </w:r>
          </w:p>
        </w:tc>
        <w:tc>
          <w:tcPr>
            <w:tcW w:w="2268" w:type="dxa"/>
          </w:tcPr>
          <w:p w:rsidR="006B2E57" w:rsidRPr="00B37E51" w:rsidRDefault="00084A35" w:rsidP="00B37E51">
            <w:pPr>
              <w:widowControl w:val="0"/>
              <w:spacing w:before="40" w:after="40"/>
              <w:jc w:val="center"/>
              <w:rPr>
                <w:i/>
                <w:lang w:val="nl-NL"/>
              </w:rPr>
            </w:pPr>
            <w:r w:rsidRPr="00B37E51">
              <w:rPr>
                <w:i/>
                <w:lang w:val="nl-NL"/>
              </w:rPr>
              <w:t>2.360</w:t>
            </w:r>
          </w:p>
        </w:tc>
      </w:tr>
      <w:tr w:rsidR="0021746A" w:rsidRPr="00EB5330" w:rsidTr="00FF5467">
        <w:tc>
          <w:tcPr>
            <w:tcW w:w="4741" w:type="dxa"/>
            <w:gridSpan w:val="2"/>
          </w:tcPr>
          <w:p w:rsidR="0021746A" w:rsidRPr="00EB5330" w:rsidRDefault="0021746A" w:rsidP="00B37E51">
            <w:pPr>
              <w:widowControl w:val="0"/>
              <w:spacing w:before="40" w:after="40"/>
              <w:jc w:val="both"/>
              <w:rPr>
                <w:b/>
                <w:lang w:val="nl-NL"/>
              </w:rPr>
            </w:pPr>
            <w:r w:rsidRPr="00EB5330">
              <w:rPr>
                <w:b/>
                <w:lang w:val="nl-NL"/>
              </w:rPr>
              <w:t>Ngân hàng Phát triển Việt Nam</w:t>
            </w:r>
          </w:p>
        </w:tc>
        <w:tc>
          <w:tcPr>
            <w:tcW w:w="2279" w:type="dxa"/>
          </w:tcPr>
          <w:p w:rsidR="0021746A" w:rsidRPr="00EB5330" w:rsidRDefault="00084A35" w:rsidP="00B37E51">
            <w:pPr>
              <w:widowControl w:val="0"/>
              <w:spacing w:before="40" w:after="40"/>
              <w:jc w:val="center"/>
              <w:rPr>
                <w:b/>
                <w:lang w:val="nl-NL"/>
              </w:rPr>
            </w:pPr>
            <w:r w:rsidRPr="00EB5330">
              <w:rPr>
                <w:b/>
                <w:lang w:val="nl-NL"/>
              </w:rPr>
              <w:t>705,9</w:t>
            </w:r>
          </w:p>
        </w:tc>
        <w:tc>
          <w:tcPr>
            <w:tcW w:w="2268" w:type="dxa"/>
          </w:tcPr>
          <w:p w:rsidR="0021746A" w:rsidRPr="00EB5330" w:rsidRDefault="00084A35" w:rsidP="00B37E51">
            <w:pPr>
              <w:widowControl w:val="0"/>
              <w:spacing w:before="40" w:after="40"/>
              <w:jc w:val="center"/>
              <w:rPr>
                <w:b/>
                <w:lang w:val="nl-NL"/>
              </w:rPr>
            </w:pPr>
            <w:r w:rsidRPr="00EB5330">
              <w:rPr>
                <w:b/>
                <w:lang w:val="nl-NL"/>
              </w:rPr>
              <w:t>27</w:t>
            </w:r>
          </w:p>
        </w:tc>
      </w:tr>
      <w:tr w:rsidR="0021746A" w:rsidRPr="00EB5330" w:rsidTr="0021746A">
        <w:tc>
          <w:tcPr>
            <w:tcW w:w="4741" w:type="dxa"/>
            <w:gridSpan w:val="2"/>
          </w:tcPr>
          <w:p w:rsidR="0021746A" w:rsidRPr="00EB5330" w:rsidRDefault="0021746A" w:rsidP="00B37E51">
            <w:pPr>
              <w:widowControl w:val="0"/>
              <w:spacing w:before="40" w:after="40"/>
              <w:jc w:val="both"/>
              <w:rPr>
                <w:b/>
                <w:lang w:val="nl-NL"/>
              </w:rPr>
            </w:pPr>
            <w:r w:rsidRPr="00EB5330">
              <w:rPr>
                <w:b/>
                <w:lang w:val="nl-NL"/>
              </w:rPr>
              <w:t>Các Quỹ tài chính tại địa phương</w:t>
            </w:r>
          </w:p>
        </w:tc>
        <w:tc>
          <w:tcPr>
            <w:tcW w:w="2279" w:type="dxa"/>
          </w:tcPr>
          <w:p w:rsidR="0021746A" w:rsidRPr="00EB5330" w:rsidRDefault="0021746A" w:rsidP="00B37E51">
            <w:pPr>
              <w:widowControl w:val="0"/>
              <w:spacing w:before="40" w:after="40"/>
              <w:jc w:val="center"/>
              <w:rPr>
                <w:b/>
                <w:lang w:val="nl-NL"/>
              </w:rPr>
            </w:pPr>
          </w:p>
        </w:tc>
        <w:tc>
          <w:tcPr>
            <w:tcW w:w="2268" w:type="dxa"/>
          </w:tcPr>
          <w:p w:rsidR="0021746A" w:rsidRPr="00EB5330" w:rsidRDefault="00AF0B05" w:rsidP="00B37E51">
            <w:pPr>
              <w:widowControl w:val="0"/>
              <w:spacing w:before="40" w:after="40"/>
              <w:jc w:val="center"/>
              <w:rPr>
                <w:b/>
                <w:lang w:val="nl-NL"/>
              </w:rPr>
            </w:pPr>
            <w:r w:rsidRPr="00EB5330">
              <w:rPr>
                <w:b/>
                <w:lang w:val="nl-NL"/>
              </w:rPr>
              <w:t>2.620,3</w:t>
            </w:r>
          </w:p>
        </w:tc>
      </w:tr>
      <w:tr w:rsidR="0021746A" w:rsidRPr="00A6106C" w:rsidTr="0021746A">
        <w:tc>
          <w:tcPr>
            <w:tcW w:w="1075" w:type="dxa"/>
          </w:tcPr>
          <w:p w:rsidR="0021746A" w:rsidRDefault="0021746A" w:rsidP="00B37E51">
            <w:pPr>
              <w:widowControl w:val="0"/>
              <w:spacing w:before="40" w:after="40"/>
              <w:jc w:val="both"/>
              <w:rPr>
                <w:lang w:val="nl-NL"/>
              </w:rPr>
            </w:pPr>
          </w:p>
        </w:tc>
        <w:tc>
          <w:tcPr>
            <w:tcW w:w="3666" w:type="dxa"/>
          </w:tcPr>
          <w:p w:rsidR="0021746A" w:rsidRPr="00B37E51" w:rsidRDefault="0021746A" w:rsidP="00B37E51">
            <w:pPr>
              <w:widowControl w:val="0"/>
              <w:spacing w:before="40" w:after="40"/>
              <w:jc w:val="both"/>
              <w:rPr>
                <w:i/>
                <w:lang w:val="nl-NL"/>
              </w:rPr>
            </w:pPr>
            <w:r w:rsidRPr="00B37E51">
              <w:rPr>
                <w:i/>
                <w:lang w:val="nl-NL"/>
              </w:rPr>
              <w:t>Quỹ Phát triển nhà ở</w:t>
            </w:r>
            <w:r w:rsidR="00F56F88">
              <w:rPr>
                <w:i/>
                <w:lang w:val="nl-NL"/>
              </w:rPr>
              <w:t xml:space="preserve"> TP. HCM</w:t>
            </w:r>
          </w:p>
        </w:tc>
        <w:tc>
          <w:tcPr>
            <w:tcW w:w="2279" w:type="dxa"/>
          </w:tcPr>
          <w:p w:rsidR="0021746A" w:rsidRPr="00B37E51" w:rsidRDefault="004531E1" w:rsidP="00B37E51">
            <w:pPr>
              <w:widowControl w:val="0"/>
              <w:spacing w:before="40" w:after="40"/>
              <w:jc w:val="center"/>
              <w:rPr>
                <w:i/>
                <w:lang w:val="nl-NL"/>
              </w:rPr>
            </w:pPr>
            <w:r w:rsidRPr="00B37E51">
              <w:rPr>
                <w:i/>
                <w:lang w:val="nl-NL"/>
              </w:rPr>
              <w:t>2.800</w:t>
            </w:r>
          </w:p>
        </w:tc>
        <w:tc>
          <w:tcPr>
            <w:tcW w:w="2268" w:type="dxa"/>
          </w:tcPr>
          <w:p w:rsidR="0021746A" w:rsidRPr="00B37E51" w:rsidRDefault="004531E1" w:rsidP="00B37E51">
            <w:pPr>
              <w:widowControl w:val="0"/>
              <w:spacing w:before="40" w:after="40"/>
              <w:jc w:val="center"/>
              <w:rPr>
                <w:i/>
                <w:lang w:val="nl-NL"/>
              </w:rPr>
            </w:pPr>
            <w:r w:rsidRPr="00B37E51">
              <w:rPr>
                <w:i/>
                <w:lang w:val="nl-NL"/>
              </w:rPr>
              <w:t>1.584</w:t>
            </w:r>
            <w:r w:rsidR="00AF0B05">
              <w:rPr>
                <w:i/>
                <w:lang w:val="nl-NL"/>
              </w:rPr>
              <w:t>,2</w:t>
            </w:r>
          </w:p>
        </w:tc>
      </w:tr>
      <w:tr w:rsidR="0021746A" w:rsidRPr="00A6106C" w:rsidTr="0021746A">
        <w:tc>
          <w:tcPr>
            <w:tcW w:w="1075" w:type="dxa"/>
          </w:tcPr>
          <w:p w:rsidR="0021746A" w:rsidRDefault="0021746A" w:rsidP="00B37E51">
            <w:pPr>
              <w:widowControl w:val="0"/>
              <w:spacing w:before="40" w:after="40"/>
              <w:jc w:val="both"/>
              <w:rPr>
                <w:lang w:val="nl-NL"/>
              </w:rPr>
            </w:pPr>
          </w:p>
        </w:tc>
        <w:tc>
          <w:tcPr>
            <w:tcW w:w="3666" w:type="dxa"/>
          </w:tcPr>
          <w:p w:rsidR="0021746A" w:rsidRPr="00B37E51" w:rsidRDefault="0021746A" w:rsidP="00B37E51">
            <w:pPr>
              <w:widowControl w:val="0"/>
              <w:spacing w:before="40" w:after="40"/>
              <w:jc w:val="both"/>
              <w:rPr>
                <w:i/>
                <w:lang w:val="nl-NL"/>
              </w:rPr>
            </w:pPr>
            <w:r w:rsidRPr="00B37E51">
              <w:rPr>
                <w:i/>
                <w:lang w:val="nl-NL"/>
              </w:rPr>
              <w:t>Quỹ Đầu tư phát triển địa phương</w:t>
            </w:r>
          </w:p>
        </w:tc>
        <w:tc>
          <w:tcPr>
            <w:tcW w:w="2279" w:type="dxa"/>
          </w:tcPr>
          <w:p w:rsidR="0021746A" w:rsidRPr="00B37E51" w:rsidRDefault="0021746A" w:rsidP="00B37E51">
            <w:pPr>
              <w:widowControl w:val="0"/>
              <w:spacing w:before="40" w:after="40"/>
              <w:jc w:val="center"/>
              <w:rPr>
                <w:i/>
                <w:lang w:val="nl-NL"/>
              </w:rPr>
            </w:pPr>
          </w:p>
        </w:tc>
        <w:tc>
          <w:tcPr>
            <w:tcW w:w="2268" w:type="dxa"/>
          </w:tcPr>
          <w:p w:rsidR="0021746A" w:rsidRPr="00B37E51" w:rsidRDefault="004531E1" w:rsidP="00B37E51">
            <w:pPr>
              <w:widowControl w:val="0"/>
              <w:spacing w:before="40" w:after="40"/>
              <w:jc w:val="center"/>
              <w:rPr>
                <w:i/>
                <w:lang w:val="nl-NL"/>
              </w:rPr>
            </w:pPr>
            <w:r w:rsidRPr="00B37E51">
              <w:rPr>
                <w:i/>
                <w:lang w:val="nl-NL"/>
              </w:rPr>
              <w:t>1.036,1</w:t>
            </w:r>
          </w:p>
        </w:tc>
      </w:tr>
      <w:tr w:rsidR="0021746A" w:rsidRPr="00EB5330" w:rsidTr="0021746A">
        <w:tc>
          <w:tcPr>
            <w:tcW w:w="4741" w:type="dxa"/>
            <w:gridSpan w:val="2"/>
          </w:tcPr>
          <w:p w:rsidR="0021746A" w:rsidRPr="00EB5330" w:rsidRDefault="0021746A" w:rsidP="00B37E51">
            <w:pPr>
              <w:widowControl w:val="0"/>
              <w:spacing w:before="40" w:after="40"/>
              <w:jc w:val="both"/>
              <w:rPr>
                <w:b/>
                <w:lang w:val="nl-NL"/>
              </w:rPr>
            </w:pPr>
            <w:r w:rsidRPr="00EB5330">
              <w:rPr>
                <w:b/>
                <w:lang w:val="nl-NL"/>
              </w:rPr>
              <w:t>Tổng</w:t>
            </w:r>
          </w:p>
        </w:tc>
        <w:tc>
          <w:tcPr>
            <w:tcW w:w="2279" w:type="dxa"/>
          </w:tcPr>
          <w:p w:rsidR="0021746A" w:rsidRPr="00EB5330" w:rsidRDefault="00242F15" w:rsidP="00B37E51">
            <w:pPr>
              <w:widowControl w:val="0"/>
              <w:spacing w:before="40" w:after="40"/>
              <w:jc w:val="center"/>
              <w:rPr>
                <w:b/>
                <w:lang w:val="nl-NL"/>
              </w:rPr>
            </w:pPr>
            <w:r>
              <w:rPr>
                <w:b/>
                <w:lang w:val="nl-NL"/>
              </w:rPr>
              <w:t>67.778</w:t>
            </w:r>
          </w:p>
        </w:tc>
        <w:tc>
          <w:tcPr>
            <w:tcW w:w="2268" w:type="dxa"/>
          </w:tcPr>
          <w:p w:rsidR="0021746A" w:rsidRPr="00EB5330" w:rsidRDefault="00EB5330" w:rsidP="00B37E51">
            <w:pPr>
              <w:widowControl w:val="0"/>
              <w:spacing w:before="40" w:after="40"/>
              <w:jc w:val="center"/>
              <w:rPr>
                <w:b/>
                <w:lang w:val="nl-NL"/>
              </w:rPr>
            </w:pPr>
            <w:r>
              <w:rPr>
                <w:b/>
                <w:lang w:val="nl-NL"/>
              </w:rPr>
              <w:t>35.773,3</w:t>
            </w:r>
          </w:p>
        </w:tc>
      </w:tr>
    </w:tbl>
    <w:p w:rsidR="00213257" w:rsidRPr="00EB5330" w:rsidRDefault="00EB5330" w:rsidP="0086270C">
      <w:pPr>
        <w:widowControl w:val="0"/>
        <w:spacing w:before="120" w:after="120" w:line="360" w:lineRule="exact"/>
        <w:ind w:firstLine="720"/>
        <w:jc w:val="both"/>
        <w:rPr>
          <w:lang w:val="nl-NL"/>
        </w:rPr>
      </w:pPr>
      <w:r w:rsidRPr="00EB5330">
        <w:rPr>
          <w:lang w:val="nl-NL"/>
        </w:rPr>
        <w:t>Cụ thể</w:t>
      </w:r>
      <w:r>
        <w:rPr>
          <w:lang w:val="nl-NL"/>
        </w:rPr>
        <w:t xml:space="preserve"> các chư</w:t>
      </w:r>
      <w:r w:rsidR="00242F15">
        <w:rPr>
          <w:lang w:val="nl-NL"/>
        </w:rPr>
        <w:t>o</w:t>
      </w:r>
      <w:r>
        <w:rPr>
          <w:lang w:val="nl-NL"/>
        </w:rPr>
        <w:t>ng</w:t>
      </w:r>
      <w:r w:rsidR="00242F15">
        <w:rPr>
          <w:lang w:val="nl-NL"/>
        </w:rPr>
        <w:t xml:space="preserve"> trình</w:t>
      </w:r>
      <w:r>
        <w:rPr>
          <w:lang w:val="nl-NL"/>
        </w:rPr>
        <w:t xml:space="preserve"> cho vay nhà ở xã hội đang triển khai </w:t>
      </w:r>
      <w:r w:rsidR="00242F15">
        <w:rPr>
          <w:lang w:val="nl-NL"/>
        </w:rPr>
        <w:t>qua</w:t>
      </w:r>
      <w:r>
        <w:rPr>
          <w:lang w:val="nl-NL"/>
        </w:rPr>
        <w:t xml:space="preserve"> các định chế tài chính như sau:</w:t>
      </w:r>
    </w:p>
    <w:p w:rsidR="0001704E" w:rsidRPr="0086270C" w:rsidRDefault="0001704E" w:rsidP="0086270C">
      <w:pPr>
        <w:widowControl w:val="0"/>
        <w:spacing w:before="120" w:after="120" w:line="360" w:lineRule="exact"/>
        <w:ind w:firstLine="720"/>
        <w:jc w:val="both"/>
        <w:rPr>
          <w:b/>
          <w:i/>
          <w:iCs/>
          <w:lang w:val="nl-NL"/>
        </w:rPr>
      </w:pPr>
      <w:bookmarkStart w:id="1" w:name="_Hlk185172810"/>
      <w:bookmarkEnd w:id="0"/>
      <w:r w:rsidRPr="0086270C">
        <w:rPr>
          <w:b/>
          <w:i/>
          <w:iCs/>
          <w:lang w:val="nl-NL"/>
        </w:rPr>
        <w:t>2.1. Đối với NHCSXH</w:t>
      </w:r>
    </w:p>
    <w:p w:rsidR="0001704E" w:rsidRPr="0086270C" w:rsidRDefault="0001704E" w:rsidP="0086270C">
      <w:pPr>
        <w:widowControl w:val="0"/>
        <w:spacing w:before="120" w:after="120" w:line="360" w:lineRule="exact"/>
        <w:ind w:firstLine="720"/>
        <w:jc w:val="both"/>
        <w:rPr>
          <w:bCs/>
          <w:lang w:val="nl-NL"/>
        </w:rPr>
      </w:pPr>
      <w:r w:rsidRPr="0086270C">
        <w:rPr>
          <w:bCs/>
          <w:lang w:val="nl-NL"/>
        </w:rPr>
        <w:t>Trong thời gian qua, NHCSXH đã triển khai nhiều chương trình tín dụng chính sách của Nhà nước cho việc phát triển nhà ở xã hội</w:t>
      </w:r>
      <w:r w:rsidR="00896898">
        <w:rPr>
          <w:bCs/>
          <w:lang w:val="vi-VN"/>
        </w:rPr>
        <w:t xml:space="preserve"> và là định chế đang triển khai có hiệu quả nhất việc cho vay phát triển nhà ở xã hội với</w:t>
      </w:r>
      <w:r w:rsidRPr="0086270C">
        <w:rPr>
          <w:bCs/>
          <w:lang w:val="nl-NL"/>
        </w:rPr>
        <w:t xml:space="preserve"> tổng giá trị giải ngân</w:t>
      </w:r>
      <w:r w:rsidR="00896898">
        <w:rPr>
          <w:bCs/>
          <w:lang w:val="vi-VN"/>
        </w:rPr>
        <w:t xml:space="preserve"> đến nay </w:t>
      </w:r>
      <w:r w:rsidR="00896898" w:rsidRPr="000B4F3B">
        <w:rPr>
          <w:bCs/>
          <w:lang w:val="vi-VN"/>
        </w:rPr>
        <w:t>(</w:t>
      </w:r>
      <w:r w:rsidR="000B4F3B" w:rsidRPr="000B4F3B">
        <w:rPr>
          <w:bCs/>
          <w:lang w:val="en-US"/>
        </w:rPr>
        <w:t>30/</w:t>
      </w:r>
      <w:r w:rsidR="00ED4A68" w:rsidRPr="000B4F3B">
        <w:rPr>
          <w:bCs/>
          <w:lang w:val="vi-VN"/>
        </w:rPr>
        <w:t>11</w:t>
      </w:r>
      <w:r w:rsidR="00896898" w:rsidRPr="000B4F3B">
        <w:rPr>
          <w:bCs/>
          <w:lang w:val="vi-VN"/>
        </w:rPr>
        <w:t>/2024)</w:t>
      </w:r>
      <w:r w:rsidRPr="0086270C">
        <w:rPr>
          <w:bCs/>
          <w:lang w:val="nl-NL"/>
        </w:rPr>
        <w:t xml:space="preserve"> là trên 32,3 nghìn tỷ đồng, cụ thể:</w:t>
      </w:r>
    </w:p>
    <w:p w:rsidR="0001704E" w:rsidRPr="0086270C" w:rsidRDefault="0001704E" w:rsidP="0086270C">
      <w:pPr>
        <w:widowControl w:val="0"/>
        <w:spacing w:before="120" w:after="120" w:line="360" w:lineRule="exact"/>
        <w:ind w:firstLine="720"/>
        <w:jc w:val="both"/>
        <w:rPr>
          <w:bCs/>
          <w:i/>
          <w:iCs/>
          <w:lang w:val="nl-NL"/>
        </w:rPr>
      </w:pPr>
      <w:r w:rsidRPr="0086270C">
        <w:rPr>
          <w:bCs/>
          <w:i/>
          <w:iCs/>
          <w:lang w:val="nl-NL"/>
        </w:rPr>
        <w:t>a) Cho vay ưu đãi phát triển nhà ở xã hội theo quy định tại khoản 5 Điều 77 Luật Nhà ở 2023 và Nghị định số 100/2015/NĐ-CP, Nghị định số 100/2024/NĐ-CP</w:t>
      </w:r>
    </w:p>
    <w:p w:rsidR="0001704E" w:rsidRPr="0086270C" w:rsidRDefault="0001704E"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lang w:val="fr-FR"/>
        </w:rPr>
      </w:pPr>
      <w:r w:rsidRPr="0086270C">
        <w:rPr>
          <w:lang w:val="fr-FR"/>
        </w:rPr>
        <w:t>- Về cơ chế chính sách: Tại khoản 3 Điều 78 Luật Nhà ở 2023 quy định điều kiện để được hỗ trợ vay vốn ưu đãi của Nhà nước thông qua Ngân hàng chính sách xã hội, tổ chức tín dụng do Nhà nước chỉ định</w:t>
      </w:r>
      <w:r w:rsidR="00ED4A68">
        <w:rPr>
          <w:lang w:val="vi-VN"/>
        </w:rPr>
        <w:t>, cụ thể</w:t>
      </w:r>
      <w:r w:rsidRPr="0086270C">
        <w:rPr>
          <w:lang w:val="fr-FR"/>
        </w:rPr>
        <w:t>:</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lang w:val="fr-FR"/>
        </w:rPr>
      </w:pPr>
      <w:r w:rsidRPr="0086270C">
        <w:rPr>
          <w:i/>
          <w:lang w:val="fr-FR"/>
        </w:rPr>
        <w:t xml:space="preserve">+ </w:t>
      </w:r>
      <w:r w:rsidR="00ED4A68">
        <w:rPr>
          <w:i/>
          <w:lang w:val="vi-VN"/>
        </w:rPr>
        <w:t>Là các đ</w:t>
      </w:r>
      <w:r w:rsidRPr="0086270C">
        <w:rPr>
          <w:i/>
          <w:lang w:val="fr-FR"/>
        </w:rPr>
        <w:t>ối tượng quy định tại các </w:t>
      </w:r>
      <w:bookmarkStart w:id="2" w:name="tc_148"/>
      <w:r w:rsidRPr="0086270C">
        <w:rPr>
          <w:i/>
          <w:lang w:val="fr-FR"/>
        </w:rPr>
        <w:t>khoản 1, 2, 3, 4, 5, 6, 7 và 8 Điều 76 của Luật này</w:t>
      </w:r>
      <w:bookmarkEnd w:id="2"/>
      <w:r w:rsidR="00F74312">
        <w:rPr>
          <w:rStyle w:val="FootnoteReference"/>
          <w:i/>
          <w:lang w:val="fr-FR"/>
        </w:rPr>
        <w:footnoteReference w:id="8"/>
      </w:r>
      <w:r w:rsidRPr="0086270C">
        <w:rPr>
          <w:i/>
          <w:lang w:val="fr-FR"/>
        </w:rPr>
        <w:t> để được vay vốn để mua, thuê mua nhà ở xã hội thì phải có hợp đồng mua, thuê mua nhà ở xã hội và đáp ứng điều kiện vay vốn theo quy định của pháp luật về các tổ chức tín dụng;</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lang w:val="fr-FR"/>
        </w:rPr>
      </w:pPr>
      <w:r w:rsidRPr="0086270C">
        <w:rPr>
          <w:i/>
          <w:lang w:val="fr-FR"/>
        </w:rPr>
        <w:t>+ Đối tượng quy định tại </w:t>
      </w:r>
      <w:bookmarkStart w:id="3" w:name="tc_149"/>
      <w:r w:rsidRPr="0086270C">
        <w:rPr>
          <w:i/>
          <w:lang w:val="fr-FR"/>
        </w:rPr>
        <w:t>khoản 7 Điều 76 của Luật này</w:t>
      </w:r>
      <w:bookmarkEnd w:id="3"/>
      <w:r w:rsidR="00ED4A68">
        <w:rPr>
          <w:i/>
          <w:lang w:val="vi-VN"/>
        </w:rPr>
        <w:t xml:space="preserve"> </w:t>
      </w:r>
      <w:r w:rsidR="00ED4A68" w:rsidRPr="00F4131A">
        <w:rPr>
          <w:lang w:val="vi-VN"/>
        </w:rPr>
        <w:t>(</w:t>
      </w:r>
      <w:r w:rsidR="00F4131A" w:rsidRPr="00F4131A">
        <w:rPr>
          <w:i/>
          <w:lang w:val="vi-VN"/>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sidR="00ED4A68" w:rsidRPr="00F4131A">
        <w:rPr>
          <w:lang w:val="vi-VN"/>
        </w:rPr>
        <w:t>)</w:t>
      </w:r>
      <w:r w:rsidRPr="00F4131A">
        <w:rPr>
          <w:lang w:val="fr-FR"/>
        </w:rPr>
        <w:t> </w:t>
      </w:r>
      <w:r w:rsidRPr="0086270C">
        <w:rPr>
          <w:i/>
          <w:lang w:val="fr-FR"/>
        </w:rPr>
        <w:t>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lang w:val="fr-FR"/>
        </w:rPr>
      </w:pPr>
      <w:r w:rsidRPr="0086270C">
        <w:rPr>
          <w:lang w:val="fr-FR"/>
        </w:rPr>
        <w:t xml:space="preserve">Điểm c khoản 1 Điều 50 Nghị định số 100/2024/NĐ-CP quy định nguồn vốn cho vay ưu đãi thông qua Ngân hàng Chính sách xã hội bao gồm: </w:t>
      </w:r>
      <w:r w:rsidRPr="0086270C">
        <w:rPr>
          <w:i/>
          <w:lang w:val="fr-FR"/>
        </w:rPr>
        <w:t xml:space="preserve">Nguồn vốn ủy thác từ Quỹ phát triển nhà ở địa phương (nếu có), </w:t>
      </w:r>
      <w:r w:rsidRPr="0086270C">
        <w:rPr>
          <w:bCs/>
          <w:i/>
          <w:lang w:val="fr-FR"/>
        </w:rPr>
        <w:t>ngân sách địa phương hỗ trợ hàng năm, vốn từ phát hành trái phiếu,</w:t>
      </w:r>
      <w:r w:rsidRPr="0086270C">
        <w:rPr>
          <w:i/>
          <w:lang w:val="fr-FR"/>
        </w:rPr>
        <w:t xml:space="preserve"> công trái nhà ở và từ các nguồn hợp pháp khác theo quy định của pháp luật do Hội đồng nhân dân cấp tỉnh (đối với ngân sách cấp tỉnh), cấp huyện (đối với ngân sách cấp huyện) quyết định để thực hiện mục tiêu, kế hoạch nhà ở xã hội tại địa phương.</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Điều kiện, mức vốn, lãi suất, thời hạn vay vốn ưu đãi </w:t>
      </w:r>
      <w:bookmarkStart w:id="4" w:name="dieu_48"/>
      <w:r w:rsidRPr="0086270C">
        <w:rPr>
          <w:lang w:val="fr-FR"/>
        </w:rPr>
        <w:t>để mua, thuê mua nhà ở xã hội; xây dựng hoặc cải tạo, sửa chữa nhà ở tại Ngân hàng Chính sách xã hội</w:t>
      </w:r>
      <w:bookmarkEnd w:id="4"/>
      <w:r w:rsidRPr="0086270C">
        <w:rPr>
          <w:lang w:val="fr-FR"/>
        </w:rPr>
        <w:t xml:space="preserve"> được quy định tại Điều 48 Nghị định số 100/2024/NĐ-CP.</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Về kết quả thực hiện: Theo báo cáo của NHCSXH</w:t>
      </w:r>
      <w:r w:rsidRPr="0086270C">
        <w:rPr>
          <w:rStyle w:val="FootnoteReference"/>
          <w:rFonts w:eastAsiaTheme="majorEastAsia"/>
          <w:lang w:val="fr-FR"/>
        </w:rPr>
        <w:footnoteReference w:id="9"/>
      </w:r>
      <w:r w:rsidRPr="0086270C">
        <w:rPr>
          <w:lang w:val="fr-FR"/>
        </w:rPr>
        <w:t xml:space="preserve">, trong giai đoạn từ năm 2018 đến hết năm 2023, NHCSXH đã giải ngân được 17.449 tỷ đồng hỗ trợ cho vay chính sách nhà ở xã hội, trong đó: nguồn vốn thực hiện chương trình tại NHCSXH theo quy định pháp luật về nhà ở đạt 7.168 tỷ đồng, trong đó: (i) Vốn ngân sách trung ương cấp (50%): 3.163 tỷ đồng ; (ii) Vốn NHCSXH huy động đối ứng với nguồn vốn Ngân hàng Chính sách xã hội cấp 50% là 3.163 tỷ đồng; (iii) Vốn ngân sách địa phương ủy thác sang Ngân hàng Chính sách xã hội để cho vay là 842 tỷ đồng.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fr-FR"/>
        </w:rPr>
      </w:pPr>
      <w:r w:rsidRPr="0086270C">
        <w:rPr>
          <w:lang w:val="pt-BR"/>
        </w:rPr>
        <w:t xml:space="preserve">Đến ngày 30/11/2024, tổng doanh số cho vay đối với hộ gia đình, cá nhân vay vốn để mua, thuê, thuê mua nhà ở xã hội, nhà ở cho công nhân; xây dựng mới hoặc cải tạo, sửa chữa nhà của Chương trình là 22.052 tỷ đồng cho hơn 49.000 khách hàng và tổng dư nợ là: 17.273 tỷ đồng của 45.948 khách hàng.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fr-FR"/>
        </w:rPr>
      </w:pPr>
      <w:r w:rsidRPr="0086270C">
        <w:rPr>
          <w:i/>
          <w:iCs/>
          <w:lang w:val="fr-FR"/>
        </w:rPr>
        <w:t xml:space="preserve">b) Cho vay </w:t>
      </w:r>
      <w:r w:rsidR="00ED4A68">
        <w:rPr>
          <w:i/>
          <w:iCs/>
          <w:lang w:val="vi-VN"/>
        </w:rPr>
        <w:t>theo</w:t>
      </w:r>
      <w:r w:rsidRPr="0086270C">
        <w:rPr>
          <w:i/>
          <w:iCs/>
          <w:lang w:val="fr-FR"/>
        </w:rPr>
        <w:t xml:space="preserve"> Nghị quyết số 11/NQ-CP</w:t>
      </w:r>
      <w:r w:rsidRPr="0086270C">
        <w:rPr>
          <w:lang w:val="fr-FR"/>
        </w:rPr>
        <w:t xml:space="preserve"> </w:t>
      </w:r>
      <w:r w:rsidRPr="0086270C">
        <w:rPr>
          <w:i/>
          <w:iCs/>
          <w:lang w:val="fr-FR"/>
        </w:rPr>
        <w:t>ngày 30/01/2022 về Chương trình phục hồi và phát triển kinh tế - xã hội và triển khai Nghị quyết số 43/2022/QH15 của Quốc hội về chính sách tài khóa, tiền tệ hỗ trợ Chương trình</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 Về cơ chế chính sách: Để bảo đảm an sinh xã hội và đời sống (trong đó có nhà ở) của người dân, Nghị quyết số 11/NQ-CP </w:t>
      </w:r>
      <w:r w:rsidR="00ED4A68">
        <w:rPr>
          <w:lang w:val="vi-VN"/>
        </w:rPr>
        <w:t>chủ trương</w:t>
      </w:r>
      <w:r w:rsidRPr="0086270C">
        <w:rPr>
          <w:lang w:val="fr-FR"/>
        </w:rPr>
        <w:t xml:space="preserve"> cho vay ưu đãi thông qua NHCSXH đối với cá nhân, hộ gia đình để mua, thuê mua nhà ở xã hội, nhà ở cho công nhân; xây dựng mới hoặc cải tạo, sửa chữa nhà ở theo chính sách về nhà ở xã hội với tổng nguồn vốn cho vay tối đa là 15.000 tỷ đồng; thực hiện trong giai đoạn nào 2022-2023. Theo đó, gói hỗ trợ cho khách hàng cá nhân vay mua, thuê mua nhà ở xã hội, xây dựng mới hoặc cải tạo, sửa chữa nhà ở thông qua </w:t>
      </w:r>
      <w:r w:rsidR="0086270C" w:rsidRPr="0086270C">
        <w:rPr>
          <w:lang w:val="fr-FR"/>
        </w:rPr>
        <w:t>NHCSXH</w:t>
      </w:r>
      <w:r w:rsidRPr="0086270C">
        <w:rPr>
          <w:lang w:val="fr-FR"/>
        </w:rPr>
        <w:t xml:space="preserve">, thực hiện theo quy định của Nghị định số 100/2015/NĐ-CP ngày 20/10/2015 và Nghị định số 49/2021/NĐ-CP ngày 01/4/2021về phát triển và quản lý nhà ở xã hội, cụ thể: </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(1) Đối tượng được thụ hưởng là:</w:t>
      </w:r>
      <w:r w:rsidRPr="0086270C">
        <w:rPr>
          <w:lang w:val="fr-FR"/>
        </w:rPr>
        <w:t xml:space="preserve"> Người có công với cách mạng; người thu nhập thấp khu vực đô thị; người lao động trong các </w:t>
      </w:r>
      <w:r w:rsidR="00ED4A68">
        <w:rPr>
          <w:lang w:val="vi-VN"/>
        </w:rPr>
        <w:t>khu công nghiệp</w:t>
      </w:r>
      <w:r w:rsidRPr="0086270C">
        <w:rPr>
          <w:lang w:val="fr-FR"/>
        </w:rPr>
        <w:t xml:space="preserve">; cán bộ chiến sĩ công an và quân đội; cán bộ, công chức, viên chức; </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(2) Điều kiện:</w:t>
      </w:r>
      <w:r w:rsidRPr="0086270C">
        <w:rPr>
          <w:lang w:val="fr-FR"/>
        </w:rPr>
        <w:t xml:space="preserve"> Đối với khách hàng vay mua, thuê mua NOXH trong các dự án có đủ vốn tối thiểu tham gia vào phương thức vay vốn theo quy định của Ngân hàng Chính sách xã hội; có khả năng trả nợ theo cam kết; có hợp đồng mua, thuê mua nhà ở xã hội với chủ đầu tư theo quy định của pháp luật về nhà ở; thực hiện bảo đảm tiền vay.</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Đối với khách hàng vay vốn để xây dựng mới hoặc cải tạo, sửa chữa nhà ở của mình: ngoài các điều kiện như trên thì phải đáp ứng thêm các điều kiện có Giấy chứng nhận quyền sử dụng đất, quyền sở hữu nhà ở và tài sản khác gắn liền với đất và có phương án tính toán giá thành, có giấy phép xây dựng đối với trường hợp yêu cầu; </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(3) Mức vốn vay</w:t>
      </w:r>
      <w:r w:rsidRPr="0086270C">
        <w:rPr>
          <w:lang w:val="fr-FR"/>
        </w:rPr>
        <w:t xml:space="preserve">: Trường hợp mua, thuê mua nhà ở xã hội thì mức vốn cho vay tối đa bằng 80% giá trị hợp đồng mua, thuê mua nhà; Trường hợp xây dựng mới hoặc cải tạo, sửa chữa nhà ở thì mức vốn cho vay tối đa bằng 70% giá trị dự toán hoặc phương án vay, tối đa không quá 500 triệu đồng và không vượt quá 70% giá trị tài sản bảo đảm tiền vay; </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(4) Lãi suất vay:</w:t>
      </w:r>
      <w:r w:rsidRPr="0086270C">
        <w:rPr>
          <w:lang w:val="fr-FR"/>
        </w:rPr>
        <w:t xml:space="preserve"> Theo quyết định của Thủ tướng Chính phủ; hiện nay là 4,8%; </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(5) Thời hạn vay</w:t>
      </w:r>
      <w:r w:rsidRPr="0086270C">
        <w:rPr>
          <w:lang w:val="fr-FR"/>
        </w:rPr>
        <w:t>: Thời hạn vay do ngân hàng và khách hàng thỏa thuận phù hợp với khả năng trả nợ của khách hàng và tối đa không quá 25 năm kể từ ngày giải ngân khoản vay đầu tiên.</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 Về kết quả thực hiện :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Giai đoạn 2022-2023, nguồn vốn </w:t>
      </w:r>
      <w:r w:rsidR="00ED4A68">
        <w:rPr>
          <w:lang w:val="vi-VN"/>
        </w:rPr>
        <w:t>của</w:t>
      </w:r>
      <w:r w:rsidRPr="0086270C">
        <w:rPr>
          <w:lang w:val="fr-FR"/>
        </w:rPr>
        <w:t xml:space="preserve"> NHCSXH thực hiện cho vay nhà ở xã hội được bổ sung theo Nghị quyết số 43/2022/QH15 của Quốc hội về chính sách tài khóa, tiền tệ hỗ trợ Chương trình phục hồi và phát triển kinh tế - xã hội, Nghị quyết số 11/NQ-CP ngày 30/01/2022 của Chính phủ về Chương trình phục hồi và phát triển kinh tế - xã hội và triển khai Nghị quyết số 43/2022/QH15 của Quốc hội về Chính sách tài khóa, tiền tệ hỗ trợ chương trình. Theo đó, NHCSXH được bổ sung 15.000 tỷ đồng, thực hiện trong 02 năm 2022-2023. Kết quả giải ngân đạt 10.281/15.000 tỷ đồng, hỗ trợ cho 26.268 khách hàng.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b/>
          <w:bCs/>
          <w:i/>
          <w:iCs/>
          <w:u w:val="single"/>
          <w:lang w:val="fr-FR"/>
        </w:rPr>
        <w:t>Đánh giá:</w:t>
      </w:r>
      <w:r w:rsidRPr="0086270C">
        <w:rPr>
          <w:i/>
          <w:iCs/>
          <w:lang w:val="fr-FR"/>
        </w:rPr>
        <w:t xml:space="preserve"> </w:t>
      </w:r>
      <w:r w:rsidRPr="0086270C">
        <w:rPr>
          <w:lang w:val="fr-FR"/>
        </w:rPr>
        <w:t>NHCSXH là tổ chức thực hiện tích cực nhất các chương trình tín dụng chính sách về phát triển nhà ở xã hội thời gian qua với dư nợ cho vay nhà ở xã hội tăng trưởng đều qua các năm. Tuy nhiên, việc triển khai cho vay ưu đãi các đối tượng theo quy định pháp luật về nhà ở, nhà ở xã hội tại NHCHXH hiện còn một số vướng mắc, cụ thể:</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86270C">
        <w:rPr>
          <w:lang w:val="pt-BR"/>
        </w:rPr>
        <w:t>- Nguồn vốn cho vay nhà ở xã hội chưa được bố trí kịp thời, đầy đủ để thực hiện chỉ tiêu kế hoạch cho vay theo quy định của Chính phủ.</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86270C">
        <w:rPr>
          <w:lang w:val="pt-BR"/>
        </w:rPr>
        <w:t>- Cơ chế, chính sách cho vay nhà ở xã hội theo Nghị định số 100/2015/NĐ-CP trước đây c</w:t>
      </w:r>
      <w:r w:rsidR="00ED4A68">
        <w:rPr>
          <w:lang w:val="vi-VN"/>
        </w:rPr>
        <w:t>òn</w:t>
      </w:r>
      <w:r w:rsidRPr="0086270C">
        <w:rPr>
          <w:lang w:val="pt-BR"/>
        </w:rPr>
        <w:t xml:space="preserve"> nhiều nội dung bất cập về đối tượng thụ hưởng chính sách, mức vốn cho vay thấp, lãi suất cho vay và yêu cầu điều kiện vay đối với khách hàng.</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bookmarkStart w:id="5" w:name="_Hlk185169460"/>
      <w:r w:rsidRPr="0086270C">
        <w:rPr>
          <w:lang w:val="en-US"/>
        </w:rPr>
        <w:t>- Công tác tổ chức thực hiện cho vay nhà ở xã hội đối với cá nhân  còn một số tồn tại, hạn chế liên quan đến c</w:t>
      </w:r>
      <w:r w:rsidRPr="0086270C">
        <w:rPr>
          <w:lang w:val="vi-VN"/>
        </w:rPr>
        <w:t xml:space="preserve">ông tác quản lý khoản vay, công tác thu nợ đến hạn và </w:t>
      </w:r>
      <w:r w:rsidR="00ED4A68">
        <w:rPr>
          <w:lang w:val="vi-VN"/>
        </w:rPr>
        <w:t>vấn đề</w:t>
      </w:r>
      <w:r w:rsidRPr="0086270C">
        <w:rPr>
          <w:lang w:val="vi-VN"/>
        </w:rPr>
        <w:t xml:space="preserve"> liên quan đến tiền gửi tiết kiệm </w:t>
      </w:r>
      <w:r w:rsidRPr="0086270C">
        <w:rPr>
          <w:lang w:val="en-US"/>
        </w:rPr>
        <w:t xml:space="preserve">nhà ở xã hội; NHCSXH </w:t>
      </w:r>
      <w:r w:rsidRPr="00ED4A68">
        <w:rPr>
          <w:u w:val="single"/>
          <w:lang w:val="en-US"/>
        </w:rPr>
        <w:t>chưa thực hiện cho vay</w:t>
      </w:r>
      <w:r w:rsidRPr="0086270C">
        <w:rPr>
          <w:lang w:val="en-US"/>
        </w:rPr>
        <w:t xml:space="preserve"> đối với các chủ đầu tư dự án nhà ở xã hội hoặc cá nhân tự xây dựng nhà ở xã hội cho các đối tượng được hưởng các chính sách nhà ở xã hội do năng lực thẩm định, theo dõi khoản vay còn hạn chế.</w:t>
      </w:r>
    </w:p>
    <w:bookmarkEnd w:id="5"/>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i/>
          <w:iCs/>
          <w:lang w:val="fr-FR"/>
        </w:rPr>
      </w:pPr>
      <w:r w:rsidRPr="0086270C">
        <w:rPr>
          <w:b/>
          <w:bCs/>
          <w:i/>
          <w:iCs/>
          <w:lang w:val="fr-FR"/>
        </w:rPr>
        <w:t>2.2. Đối với các tổ chức tín dụng</w:t>
      </w:r>
    </w:p>
    <w:p w:rsidR="00AE4734"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a) Thực hiện Nghị định số 100/2015/NĐ-CP</w:t>
      </w:r>
      <w:r w:rsidRPr="0086270C">
        <w:rPr>
          <w:lang w:val="fr-FR"/>
        </w:rPr>
        <w:t xml:space="preserve">: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Theo quy định tại Nghị định số 100/2025/NĐ-CP, các ngân hàng thương mại (NHTM) tham gia cho vay nhà ở xã hội được ngân sách nhà nước cấp bù chênh lệch lãi suất. Tuy nhiên, kể từ khi Nghị định số 100/2015/NĐ-CP có hiệu lực, Bộ Kế hoạch và Đầu tư không bố trí dự toán cấp bù lãi suất nên các NHTM không có cơ sở cho vay chính sách tại Nghị định 100/2015/NĐ-CP. Theo đó, từ năm 2016 đến nay chưa có NHTM nào cho vay theo Nghị định 100.</w:t>
      </w:r>
    </w:p>
    <w:p w:rsidR="00AE4734"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b) Gói nhà ở xã hội 30.000 tỷ đồng:</w:t>
      </w:r>
      <w:r w:rsidRPr="0086270C">
        <w:rPr>
          <w:lang w:val="fr-FR"/>
        </w:rPr>
        <w:t xml:space="preserve">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Thực hiện chỉ đạo của Chính phủ, Ngân hàng Nhà nước Việt Nam (NHNN) đã ban hành các văn bản để triển khai. Theo đó, NHNN dành khoảng 30.000 tỷ để giải ngân cho vay tái cấp vốn cho 17 NHTM thực hiện cho vay hỗ trợ nhà ở đối với khách hàng là cá nhân, hộ gia đình khó khăn về nhà ở và các chủ đầu tư xây dựng dự án nhà ở xã hội với lãi suất ưu đãi bằng khoảng 50% lãi suất cho vay bình quân của các ngân hàng trên thị trường.</w:t>
      </w:r>
    </w:p>
    <w:p w:rsidR="0001704E" w:rsidRPr="00ED4A68"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vi-VN"/>
        </w:rPr>
      </w:pPr>
      <w:r w:rsidRPr="0086270C">
        <w:rPr>
          <w:lang w:val="fr-FR"/>
        </w:rPr>
        <w:t xml:space="preserve">Theo báo cáo của NHNN, tính đến thời điểm kết thúc giải ngân tái cấp vốn cho Chương trình (ngày 31/12/2016), doanh số giải ngân của Chương trình là 29.679 tỷ đồng. Đến ngày 30/11/2024, dư nợ cho vay của Chương trình là 3.212 tỷ đồng.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c) Về Chương trình cho vay nhà ở xã hội, nhà ở công nhân theo Nghị quyết số 33/NQ-CP</w:t>
      </w:r>
      <w:r w:rsidRPr="0086270C" w:rsidDel="00E31DD9">
        <w:rPr>
          <w:i/>
          <w:iCs/>
          <w:lang w:val="fr-FR"/>
        </w:rPr>
        <w:t xml:space="preserve"> </w:t>
      </w:r>
      <w:r w:rsidRPr="0086270C">
        <w:rPr>
          <w:rStyle w:val="FootnoteReference"/>
          <w:rFonts w:eastAsiaTheme="majorEastAsia"/>
          <w:lang w:val="fr-FR"/>
        </w:rPr>
        <w:footnoteReference w:id="10"/>
      </w:r>
      <w:r w:rsidRPr="0086270C">
        <w:rPr>
          <w:lang w:val="fr-FR"/>
        </w:rPr>
        <w:t xml:space="preserve"> : </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Về cơ chế chính sách: văn bản số 1551/BXD-QL ngày 20/4/2023 của Bộ Xây dựng và văn bản số 2308/NHNN-TD ngày 01/4/2023 của Ngân hàng Nhà nước Việt Nam hướng dẫn một số nội dung về đối tượng, điều kiện, thời gian, lãi suất cho vay ưu đãi đối với khách hàng cá nhân, cụ thể như sau:</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(1) Đối tượng được vay vốn bao gồm</w:t>
      </w:r>
      <w:r w:rsidRPr="0086270C">
        <w:rPr>
          <w:lang w:val="fr-FR"/>
        </w:rPr>
        <w:t>: Người có công với cách mạng theo quy định của pháp luật về ưu đãi người có công với cách mạng; Người thu nhập thấp, hộ nghèo, cận nghèo tại khu vực đô thị; Người lao động đang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theo quy định của pháp luật về cán bộ, công chức, viên chức; Các đối tượng đã trả lại nhà ở công vụ theo quy định tại khoản 5 Điều 81 của Luật Luật Nhà ở; Hộ gia đình, cá nhân thuộc diện bị thu hồi đất và phải giải tỏa, phá dỡ nhà ở theo quy định của pháp luật mà chưa được Nhà nước bồi thường bằng nhà ở, đất ở.</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(2) Điều kiện đối với đối tượng mua nhà ở xã hội</w:t>
      </w:r>
      <w:r w:rsidRPr="0086270C">
        <w:rPr>
          <w:lang w:val="fr-FR"/>
        </w:rPr>
        <w:t xml:space="preserve"> : đảm bảo các điều kiện, tiêu chí theo quy định pháp luật về tín dụng và có hợp đồng mua nhà ở xã hội với chủ đầu tư theo quy định pháp luật về nhà ở.</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(3) Thời gian ưu đãi đối với Người mua nhà</w:t>
      </w:r>
      <w:r w:rsidRPr="0086270C">
        <w:rPr>
          <w:lang w:val="fr-FR"/>
        </w:rPr>
        <w:t>: áp dụng mức lãi suất cho vay trong thời gian ưu đãi là 5 năm kể từ ngày giải ngân nhưng không quá thời hạn cho vay tại thỏa thuận cho vay ban đầu.</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i/>
          <w:iCs/>
          <w:lang w:val="fr-FR"/>
        </w:rPr>
        <w:t>(4) Lãi suất cho vay trong thời gian ưu đãi</w:t>
      </w:r>
      <w:r w:rsidRPr="0086270C">
        <w:rPr>
          <w:lang w:val="fr-FR"/>
        </w:rPr>
        <w:t xml:space="preserve">: </w:t>
      </w:r>
      <w:r w:rsidR="0001704E" w:rsidRPr="0086270C">
        <w:rPr>
          <w:lang w:val="fr-FR"/>
        </w:rPr>
        <w:t xml:space="preserve">Chương trình triển khai từ ngày 01/4/2023, lãi suất cho vay trong thời gian hỗ trợ thấp hơn từ 1,5% đến 2% so với lãi suất cho vay bình quân trung dài hạn bằng  đồng Việt Nam của 4 NHTM nhà nước trong từng thời kỳ. Lãi suất hiện nay đang áp dụng là 7%/năm đối với chủ đầu tư và 6,5%/năm đối với  người mua (áp dụng từ ngày 01/7/2024 đến 31/12/2024). </w:t>
      </w:r>
    </w:p>
    <w:p w:rsidR="0001704E"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 Kết quả thực hiện: </w:t>
      </w:r>
      <w:r w:rsidR="00ED4A68">
        <w:rPr>
          <w:lang w:val="vi-VN"/>
        </w:rPr>
        <w:t>Theo NHNN, t</w:t>
      </w:r>
      <w:r w:rsidR="0001704E" w:rsidRPr="0086270C">
        <w:rPr>
          <w:lang w:val="fr-FR"/>
        </w:rPr>
        <w:t xml:space="preserve">riển khai gói tín dụng này đến nay đã có 9 NHTM tham gia cho vay nhà ở xã hội gồm nhóm ngân hàng Agribank, Vietcombank, BIDV, VietinBank mỗi ngân hàng tham gia 30.000 tỷ đồng; 5 NHTM cổ phần còn lại mỗi ngân hàng tham gia 5.000 tỷ đồng là HDBank, MB, VPBank, Techcombank, TPBank.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Đến ngày 15/12/2024 có 37/63 UBND tỉnh gửi văn bản hoặc công bố trên cổng thông tin điện tử về danh mục dự án tham gia Chương trình với tổng số 90 dự án. Các NHTM đã giải ngân 2.360 tỷ đồng, gồm : 2.162 tỷ đồng cho chủ đầu tư  tại 17 dự án, 198 tỷ đồng cho người mua nhà tại 15 dự án (số giải ngân tăng </w:t>
      </w:r>
      <w:r w:rsidR="00D37ADD">
        <w:rPr>
          <w:lang w:val="vi-VN"/>
        </w:rPr>
        <w:t>g</w:t>
      </w:r>
      <w:r w:rsidRPr="0086270C">
        <w:rPr>
          <w:lang w:val="fr-FR"/>
        </w:rPr>
        <w:t xml:space="preserve">ấp 13 lần so với cuối năm 2023).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86270C">
        <w:rPr>
          <w:b/>
          <w:bCs/>
          <w:i/>
          <w:iCs/>
          <w:u w:val="single"/>
          <w:lang w:val="fr-FR"/>
        </w:rPr>
        <w:t>Đánh giá:</w:t>
      </w:r>
      <w:r w:rsidRPr="0086270C">
        <w:rPr>
          <w:i/>
          <w:iCs/>
          <w:lang w:val="fr-FR"/>
        </w:rPr>
        <w:t xml:space="preserve"> </w:t>
      </w:r>
      <w:r w:rsidRPr="0086270C">
        <w:rPr>
          <w:lang w:val="en-US"/>
        </w:rPr>
        <w:t xml:space="preserve">Mặc dù gói tín dụng cho vay nhà ở xã hội thông qua các NHTM </w:t>
      </w:r>
      <w:r w:rsidR="00D37ADD">
        <w:rPr>
          <w:lang w:val="vi-VN"/>
        </w:rPr>
        <w:t xml:space="preserve">có quy mô tương đối </w:t>
      </w:r>
      <w:r w:rsidRPr="0086270C">
        <w:rPr>
          <w:lang w:val="en-US"/>
        </w:rPr>
        <w:t>lớn</w:t>
      </w:r>
      <w:r w:rsidR="00D37ADD">
        <w:rPr>
          <w:lang w:val="vi-VN"/>
        </w:rPr>
        <w:t>,</w:t>
      </w:r>
      <w:r w:rsidRPr="0086270C">
        <w:rPr>
          <w:lang w:val="en-US"/>
        </w:rPr>
        <w:t xml:space="preserve"> </w:t>
      </w:r>
      <w:r w:rsidR="00D37ADD">
        <w:rPr>
          <w:lang w:val="vi-VN"/>
        </w:rPr>
        <w:t>nhưng</w:t>
      </w:r>
      <w:r w:rsidRPr="0086270C">
        <w:rPr>
          <w:lang w:val="en-US"/>
        </w:rPr>
        <w:t xml:space="preserve"> tổng số giải ngân</w:t>
      </w:r>
      <w:r w:rsidR="00D37ADD">
        <w:rPr>
          <w:lang w:val="vi-VN"/>
        </w:rPr>
        <w:t xml:space="preserve"> đến nay</w:t>
      </w:r>
      <w:r w:rsidRPr="0086270C">
        <w:rPr>
          <w:lang w:val="en-US"/>
        </w:rPr>
        <w:t xml:space="preserve"> là trên 32 nghìn tỷ đồng, tương đương tỷ lệ giải ngân là 21,4%. </w:t>
      </w:r>
      <w:r w:rsidR="00D37ADD">
        <w:rPr>
          <w:lang w:val="vi-VN"/>
        </w:rPr>
        <w:t>Theo đánh giá của NHNN, n</w:t>
      </w:r>
      <w:r w:rsidRPr="0086270C">
        <w:rPr>
          <w:lang w:val="en-US"/>
        </w:rPr>
        <w:t>goài nguồn cung hạn chế, nguyên nhân khiến gói tín dụng giải ngân chậm là do một số dự án gặp vướng mắc về pháp lý; đa số người dân trên địa bàn thuộc khu vực nông thôn, có thu nhập thấp hoặc đối với công nhân trong các khu công nghiệp không có nhu cầu ở dài hạn nên không có nhu cầu mua, chỉ có nhu cầu thuê nhà ở xã hội...</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86270C">
        <w:rPr>
          <w:lang w:val="en-US"/>
        </w:rPr>
        <w:t>Đồng thời, theo đánh giá của Bộ Xây dựng, việc triển khai gói tín dụng 120.000 tỷ đồng còn chậm chủ yếu do một số vướng mắc, gồm: (i) các ngân hàng</w:t>
      </w:r>
      <w:r w:rsidR="00D37ADD">
        <w:rPr>
          <w:lang w:val="vi-VN"/>
        </w:rPr>
        <w:t xml:space="preserve"> thương mại</w:t>
      </w:r>
      <w:r w:rsidRPr="0086270C">
        <w:rPr>
          <w:lang w:val="en-US"/>
        </w:rPr>
        <w:t> tham gia</w:t>
      </w:r>
      <w:r w:rsidR="00D37ADD">
        <w:rPr>
          <w:lang w:val="vi-VN"/>
        </w:rPr>
        <w:t xml:space="preserve"> chương trình</w:t>
      </w:r>
      <w:r w:rsidRPr="0086270C">
        <w:rPr>
          <w:lang w:val="en-US"/>
        </w:rPr>
        <w:t xml:space="preserve"> chưa nhiều; (ii) nguồn cung nhà ở xã hội bước đầu còn hạn chế và (iii) lãi suất và thời gian </w:t>
      </w:r>
      <w:r w:rsidR="00D37ADD">
        <w:rPr>
          <w:lang w:val="vi-VN"/>
        </w:rPr>
        <w:t xml:space="preserve">ân </w:t>
      </w:r>
      <w:r w:rsidRPr="0086270C">
        <w:rPr>
          <w:lang w:val="en-US"/>
        </w:rPr>
        <w:t>hạn hưởng lãi suất chưa thực sự thu hút người vay. Mặc dù NHNN đã 2 lần hạ lãi suất</w:t>
      </w:r>
      <w:r w:rsidR="00D37ADD">
        <w:rPr>
          <w:lang w:val="vi-VN"/>
        </w:rPr>
        <w:t xml:space="preserve"> vay của chương trình </w:t>
      </w:r>
      <w:r w:rsidRPr="0086270C">
        <w:rPr>
          <w:lang w:val="en-US"/>
        </w:rPr>
        <w:t>20.000 tỷ đồng, tuy nhiên</w:t>
      </w:r>
      <w:r w:rsidR="00D37ADD">
        <w:rPr>
          <w:lang w:val="vi-VN"/>
        </w:rPr>
        <w:t xml:space="preserve"> mức</w:t>
      </w:r>
      <w:r w:rsidRPr="0086270C">
        <w:rPr>
          <w:lang w:val="en-US"/>
        </w:rPr>
        <w:t xml:space="preserve"> lãi suất áp dụng trong nửa đầu năm 2024 là 8%/năm đối với chủ đầu tư và 7,5% đối với người mua nhà và thời hạn được hưởng lãi suất ưu đãi ngắn (3 năm đối với chủ đầu tư, 5 năm đối với khách hàng cá nhân) nên chưa đảm bảo ưu đãi và phù hợp với nhu cầu của chủ đầu tư và khách hàng vay vốn.</w:t>
      </w:r>
    </w:p>
    <w:p w:rsidR="0001704E"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i/>
          <w:iCs/>
          <w:lang w:val="fr-FR"/>
        </w:rPr>
      </w:pPr>
      <w:r w:rsidRPr="0086270C">
        <w:rPr>
          <w:b/>
          <w:bCs/>
          <w:i/>
          <w:iCs/>
          <w:lang w:val="fr-FR"/>
        </w:rPr>
        <w:t>2.</w:t>
      </w:r>
      <w:r w:rsidR="0001704E" w:rsidRPr="0086270C">
        <w:rPr>
          <w:b/>
          <w:bCs/>
          <w:i/>
          <w:iCs/>
          <w:lang w:val="fr-FR"/>
        </w:rPr>
        <w:t>3. Đối với Ngân hàng Phát triển Việt Nam</w:t>
      </w:r>
    </w:p>
    <w:p w:rsidR="0001704E"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it-IT"/>
        </w:rPr>
      </w:pPr>
      <w:r w:rsidRPr="0086270C">
        <w:rPr>
          <w:lang w:val="it-IT"/>
        </w:rPr>
        <w:t xml:space="preserve">- Về cơ chế chính sách: </w:t>
      </w:r>
      <w:r w:rsidR="0001704E" w:rsidRPr="0086270C">
        <w:rPr>
          <w:lang w:val="it-IT"/>
        </w:rPr>
        <w:t xml:space="preserve">Theo quy định tại Nghị định số 78/2023/NĐ-CP ngày 07/11/2023 của Chính phủ về sửa đổi, bổ sung một số điều của Nghị định số 32/2017/NĐ-CP ngày 31/3/2017 của Chính phủ về tín dụng đầu tư của Nhà nước, Nhà nước giao </w:t>
      </w:r>
      <w:r w:rsidR="00D37ADD">
        <w:rPr>
          <w:lang w:val="vi-VN"/>
        </w:rPr>
        <w:t>Ngân hàng Phát triển Việt Nam (</w:t>
      </w:r>
      <w:r w:rsidR="0001704E" w:rsidRPr="0086270C">
        <w:rPr>
          <w:lang w:val="it-IT"/>
        </w:rPr>
        <w:t>NHPT</w:t>
      </w:r>
      <w:r w:rsidR="00D37ADD">
        <w:rPr>
          <w:lang w:val="vi-VN"/>
        </w:rPr>
        <w:t>)</w:t>
      </w:r>
      <w:r w:rsidR="0001704E" w:rsidRPr="0086270C">
        <w:rPr>
          <w:lang w:val="it-IT"/>
        </w:rPr>
        <w:t xml:space="preserve"> cho vay các dự án đầu tư phát triển hạ tầng kinh tế xã hội, trong đó </w:t>
      </w:r>
      <w:r w:rsidR="0001704E" w:rsidRPr="0086270C">
        <w:rPr>
          <w:u w:val="single"/>
          <w:lang w:val="it-IT"/>
        </w:rPr>
        <w:t>có đối tượng là cho vay chủ đầu tư dự án đầu tư xây dựng, phát triển nhà ở xã hội</w:t>
      </w:r>
      <w:r w:rsidR="0001704E" w:rsidRPr="0086270C">
        <w:rPr>
          <w:lang w:val="it-IT"/>
        </w:rPr>
        <w:t>. Do đó, trường hợp chủ đầu tư dự án đầu tư xây dựng, phát triển nhà ở xã hội đáp ứng các điều kiện vay vốn thì sẽ được NHPT thẩm định và xem xét cho vay theo đúng quy định của pháp luật.</w:t>
      </w:r>
    </w:p>
    <w:p w:rsidR="0001704E"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pt-BR"/>
        </w:rPr>
      </w:pPr>
      <w:r w:rsidRPr="0086270C">
        <w:rPr>
          <w:lang w:val="pt-BR"/>
        </w:rPr>
        <w:t xml:space="preserve">- Kết quả triển khai: </w:t>
      </w:r>
      <w:r w:rsidR="0001704E" w:rsidRPr="0086270C">
        <w:rPr>
          <w:lang w:val="pt-BR"/>
        </w:rPr>
        <w:t>Theo báo cáo của NHPT, đến ngày 30/11/2024 tổng doanh số cho vay chủ đầu tư xây dựng, phát triển nhà ở xã hội là 705,9 tỷ đồng, và tổng dư nợ cho vay chủ đầu tư xây dựng, phát triển nhà ở xã hội là 27 tỷ đồng.</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pt-BR"/>
        </w:rPr>
      </w:pPr>
      <w:r w:rsidRPr="0086270C">
        <w:rPr>
          <w:b/>
          <w:bCs/>
          <w:i/>
          <w:iCs/>
          <w:u w:val="single"/>
          <w:lang w:val="pt-BR"/>
        </w:rPr>
        <w:t>Đánh giá:</w:t>
      </w:r>
      <w:r w:rsidRPr="0086270C">
        <w:rPr>
          <w:i/>
          <w:iCs/>
          <w:lang w:val="pt-BR"/>
        </w:rPr>
        <w:t xml:space="preserve"> </w:t>
      </w:r>
      <w:r w:rsidRPr="0086270C">
        <w:rPr>
          <w:lang w:val="pt-BR"/>
        </w:rPr>
        <w:t xml:space="preserve">Mặc dù đã có cơ chế để triển khai cho vay nhà ở xã hội, </w:t>
      </w:r>
      <w:r w:rsidR="00D37ADD">
        <w:rPr>
          <w:lang w:val="vi-VN"/>
        </w:rPr>
        <w:t xml:space="preserve">tuy nhiên </w:t>
      </w:r>
      <w:r w:rsidRPr="0086270C">
        <w:rPr>
          <w:lang w:val="pt-BR"/>
        </w:rPr>
        <w:t>do nguồn vốn để thực hiện chính sách tín dụng đầu tư của Nhà nước có hạn, trong khi danh mục đối tượng các dự án vay vốn tín dụng đầu tư đa dạng, nhu cầu lớn</w:t>
      </w:r>
      <w:r w:rsidR="00D37ADD">
        <w:rPr>
          <w:lang w:val="vi-VN"/>
        </w:rPr>
        <w:t xml:space="preserve"> nên</w:t>
      </w:r>
      <w:r w:rsidRPr="0086270C">
        <w:rPr>
          <w:lang w:val="pt-BR"/>
        </w:rPr>
        <w:t xml:space="preserve"> việc triển khai cho vay các dự án đầu tư nhà ở xã hội theo chính sách tín dụng đầu tư của Nhà nước tại Ngân hàng Phát triển Việt Nam còn rất khiêm tốn.</w:t>
      </w:r>
    </w:p>
    <w:p w:rsidR="0001704E"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i/>
          <w:iCs/>
          <w:lang w:val="fr-FR"/>
        </w:rPr>
      </w:pPr>
      <w:r w:rsidRPr="0086270C">
        <w:rPr>
          <w:b/>
          <w:bCs/>
          <w:i/>
          <w:iCs/>
          <w:lang w:val="fr-FR"/>
        </w:rPr>
        <w:t>2.</w:t>
      </w:r>
      <w:r w:rsidR="0001704E" w:rsidRPr="0086270C">
        <w:rPr>
          <w:b/>
          <w:bCs/>
          <w:i/>
          <w:iCs/>
          <w:lang w:val="fr-FR"/>
        </w:rPr>
        <w:t>4. Đối với các quỹ tài chính nhà nước ngoài ngân sách tại địa phương</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fr-FR"/>
        </w:rPr>
      </w:pPr>
      <w:r w:rsidRPr="0086270C">
        <w:rPr>
          <w:i/>
          <w:iCs/>
          <w:lang w:val="fr-FR"/>
        </w:rPr>
        <w:t>a) Về cơ chế chính sách :</w:t>
      </w:r>
    </w:p>
    <w:p w:rsidR="00AE4734" w:rsidRPr="0086270C" w:rsidRDefault="00BF1305"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Triển khai Luật Nhà ở năm 2005, Chính phủ đã ban hành Nghị định số 71/2010/NĐ-CP, trong đó có hướng dẫn về việc thành lập Quỹ phát triển nhà ở tại địa phương</w:t>
      </w:r>
      <w:r w:rsidR="00D37ADD">
        <w:rPr>
          <w:lang w:val="vi-VN"/>
        </w:rPr>
        <w:t xml:space="preserve"> với một số nội dung chủ yếu như sau</w:t>
      </w:r>
      <w:r w:rsidRPr="0086270C">
        <w:rPr>
          <w:lang w:val="fr-FR"/>
        </w:rPr>
        <w:t>:</w:t>
      </w:r>
    </w:p>
    <w:p w:rsidR="00BF1305" w:rsidRPr="0086270C" w:rsidRDefault="00BF1305"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86270C">
        <w:rPr>
          <w:lang w:val="en-US"/>
        </w:rPr>
        <w:t>(1) Nguồn hình thành: Tiền thu từ việc bán, cho thuê nhà ở thuộc sở hữu nhà nước trên địa bàn; Trích tối thiểu 10% từ tiền sử dụng đất của các dự án phát triển nhà ở thương mại và các dự án khu đô thị mới trên địa bàn. Mức thu cụ thể do Hội đồng nhân dân cấp tỉnh xem xét, quyết định; Ngân sách địa phương hỗ trợ hàng năm theo quyết định của Hội đồng nhân dân cấp tỉnh; Tiền huy động từ các nguồn vốn hợp pháp khác theo quy định của pháp luật; Tiền hỗ trợ, đóng góp tự nguyện từ các tổ chức, cá nhân khác trong và ngoài nước.</w:t>
      </w:r>
    </w:p>
    <w:p w:rsidR="00BF1305" w:rsidRPr="0086270C" w:rsidRDefault="00BF1305"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86270C">
        <w:rPr>
          <w:lang w:val="en-US"/>
        </w:rPr>
        <w:t>(2) Cơ chế tổ chức: Căn cứ tình hình thực tế của địa phương, Chủ tịch Ủy ban nhân dân cấp tỉnh xem xét, quyết định thành lập Quỹ phát triển nhà ở của địa phương trên cơ sở các nguồn vốn huy động và ban hành quy chế quản lý Quỹ này bảo đảm các nguyên tắc: (i) Quỹ phát triển nhà ở là tổ chức tài chính nhà nước hoạt động theo nguyên tắc bảo toàn vốn, bù đắp chi phí phát sinh trong quá trình hoạt động và không vì mục đích lợi nhuận; (ii) Quỹ phát triển nhà ở được quản lý, điều hành và tổ chức hoạt động theo điều lệ tổ chức và hoạt động của Quỹ do Ủy ban nhân dân cấp tỉnh ban hành và tuân thủ các quy định của pháp luật có liên quan; (iii) Quỹ phát triển nhà ở được miễn, giảm các loại thuế và nộp ngân sách nhà nước theo hướng dẫn của Bộ Tài chính; (iv) Quỹ phát triển nhà ở của địa phương được sử dụng để phát triển nhà ở xã hội thuộc sở hữu nhà nước trên phạm vi địa bàn. Đồng thời, căn cứ vào điều kiện của từng địa phương, Ủy ban nhân dân cấp tỉnh có thể ủy thác cho Quỹ đầu tư phát triển của địa phương thực hiện quản lý các hoạt động của Quỹ phát triển nhà ở.</w:t>
      </w:r>
    </w:p>
    <w:p w:rsidR="00AE4734" w:rsidRPr="0086270C" w:rsidRDefault="00AE473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fr-FR"/>
        </w:rPr>
      </w:pPr>
      <w:r w:rsidRPr="0086270C">
        <w:rPr>
          <w:i/>
          <w:iCs/>
          <w:lang w:val="fr-FR"/>
        </w:rPr>
        <w:t>b) Kết quả triển khai :</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Triển khai Luật Nhà ở năm 2005, một số địa phương đã thành lập Quỹ phát triển nhà ở. Đến nay, cả nước có một số Quỹ phát triển nhà ở</w:t>
      </w:r>
      <w:r w:rsidR="00D37ADD">
        <w:rPr>
          <w:lang w:val="vi-VN"/>
        </w:rPr>
        <w:t xml:space="preserve"> đang</w:t>
      </w:r>
      <w:r w:rsidRPr="0086270C">
        <w:rPr>
          <w:lang w:val="fr-FR"/>
        </w:rPr>
        <w:t xml:space="preserve"> hoạt động như: Quỹ phát triển nhà ở thành phố Hồ Chí Minh, Quỹ phát triển nhà ở tỉnh Bình Dương, Quỹ phát triển nhà ở tỉnh Đồng Nai, Quỹ phát triển nhà ở tỉnh Bà Rịa - Vũng Tàu,… với chức năng và hoạt động chủ yếu cho vay đối tượng có thu nhập thấp để tạo lập nhà ở; cho vay các dự án nhà ở thuộc chương trình nhà ở của thành phố; cho vay vốn đối với các hộ gia đình, cá nhân xây dựng mới hoặc sửa chữa nhà trọ cho công nhân thuê; đầu tư trực tiếp tạo lập quỹ nhà ở xã hội cho thành phố, quản lý quỹ nhà ở xã hội, nhà tái định cư; quản lý, khai thác các khu nhà lưu trú công nhân,...</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Quỹ phát triển nhà ở lớn nhất đang hoạt động là Quỹ phát triển nhà ở TP. Hồ Chí Minh (hoạt động từ năm 2005), đến nay, Quỹ đã giải ngân cho hơn 5.500 đối tượng có thu nhập thấp vay tiền để tạo lập nhà ở, với tổng số tiền gần 2.800 tỷ đồng, hỗ trợ cho vay 09 dự án nhà ở với tổng số tiền giải ngân trên 320 tỷ đồng, tiếp nhận, tổ chức quản lý và khai thác các 02 công trình Nhà lưu trú công nhân và làm chủ đầu tư 02 dự án nhà ở xã hội có quy mô trên 3.000 căn hộ với tổng mức đầu tư trên 2.800 tỷ đồng. Ngoài Quỹ phát triển nhà ở TP. Hồ Chí Minh, quy mô của các quỹ phát triển nhà ở tại các địa phương là khá thấp. Do đó, khi đánh giá triển khai để sửa đổi Luật Nhà ở năm 2014, Chính phủ và Quốc hội đã bỏ quy định về thành lập Quỹ phát triển nhà ở tại địa phương do hoạt động không hiệu quả, nguồn lực còn hạn chế.</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rFonts w:eastAsia="Arial"/>
          <w:lang w:val="vi-VN"/>
        </w:rPr>
      </w:pPr>
      <w:r w:rsidRPr="0086270C">
        <w:rPr>
          <w:rFonts w:eastAsia="Arial"/>
          <w:lang w:val="en-US"/>
        </w:rPr>
        <w:t>T</w:t>
      </w:r>
      <w:r w:rsidRPr="0086270C">
        <w:rPr>
          <w:rFonts w:eastAsia="Arial"/>
          <w:lang w:val="vi-VN"/>
        </w:rPr>
        <w:t xml:space="preserve">hực tế hiện nay, các Quỹ phát triển nhà ở </w:t>
      </w:r>
      <w:r w:rsidRPr="0086270C">
        <w:rPr>
          <w:rFonts w:eastAsia="Arial"/>
          <w:lang w:val="en-US"/>
        </w:rPr>
        <w:t>đang</w:t>
      </w:r>
      <w:r w:rsidRPr="0086270C">
        <w:rPr>
          <w:rFonts w:eastAsia="Arial"/>
          <w:lang w:val="vi-VN"/>
        </w:rPr>
        <w:t xml:space="preserve"> hoạt động theo 2 hình thức là</w:t>
      </w:r>
      <w:r w:rsidRPr="0086270C">
        <w:rPr>
          <w:rFonts w:eastAsia="Arial"/>
          <w:lang w:val="en-US"/>
        </w:rPr>
        <w:t xml:space="preserve"> (i)</w:t>
      </w:r>
      <w:r w:rsidRPr="0086270C">
        <w:rPr>
          <w:rFonts w:eastAsia="Arial"/>
          <w:lang w:val="vi-VN"/>
        </w:rPr>
        <w:t xml:space="preserve"> </w:t>
      </w:r>
      <w:r w:rsidRPr="0086270C">
        <w:rPr>
          <w:rFonts w:eastAsia="Arial"/>
          <w:lang w:val="en-US"/>
        </w:rPr>
        <w:t>H</w:t>
      </w:r>
      <w:r w:rsidRPr="0086270C">
        <w:rPr>
          <w:rFonts w:eastAsia="Arial"/>
          <w:lang w:val="vi-VN"/>
        </w:rPr>
        <w:t>oạt động độc lập</w:t>
      </w:r>
      <w:r w:rsidRPr="0086270C">
        <w:rPr>
          <w:rFonts w:eastAsia="Arial"/>
          <w:lang w:val="en-US"/>
        </w:rPr>
        <w:t xml:space="preserve"> do UBND cấp tỉnh/thành phố quản lý trực tiếp</w:t>
      </w:r>
      <w:r w:rsidRPr="0086270C">
        <w:rPr>
          <w:rFonts w:eastAsia="Arial"/>
          <w:lang w:val="vi-VN"/>
        </w:rPr>
        <w:t xml:space="preserve"> (</w:t>
      </w:r>
      <w:r w:rsidRPr="0086270C">
        <w:rPr>
          <w:rFonts w:eastAsia="Arial"/>
          <w:lang w:val="en-US"/>
        </w:rPr>
        <w:t>Quỹ Phát triển nhà ở thành phố Hồ Chí Minh là quỹ có vốn chủ sở hữu là 2.000 tỷ đồng, lớn nhất cả nước</w:t>
      </w:r>
      <w:r w:rsidRPr="0086270C">
        <w:rPr>
          <w:rFonts w:eastAsia="Arial"/>
          <w:lang w:val="vi-VN"/>
        </w:rPr>
        <w:t>)</w:t>
      </w:r>
      <w:r w:rsidRPr="0086270C">
        <w:rPr>
          <w:rFonts w:eastAsia="Arial"/>
          <w:vertAlign w:val="superscript"/>
          <w:lang w:val="vi-VN"/>
        </w:rPr>
        <w:footnoteReference w:id="11"/>
      </w:r>
      <w:r w:rsidRPr="0086270C">
        <w:rPr>
          <w:rFonts w:eastAsia="Arial"/>
          <w:lang w:val="vi-VN"/>
        </w:rPr>
        <w:t xml:space="preserve"> và </w:t>
      </w:r>
      <w:r w:rsidRPr="0086270C">
        <w:rPr>
          <w:rFonts w:eastAsia="Arial"/>
          <w:lang w:val="en-US"/>
        </w:rPr>
        <w:t>(ii) Ủ</w:t>
      </w:r>
      <w:r w:rsidRPr="0086270C">
        <w:rPr>
          <w:rFonts w:eastAsia="Arial"/>
          <w:lang w:val="vi-VN"/>
        </w:rPr>
        <w:t>y thác nguồn vốn và hoạt động của Quỹ Phát triển nhà ở cho Quỹ đầu tư phát triển địa phương quản lý (như Bình Dương, Lâm Đồng,</w:t>
      </w:r>
      <w:r w:rsidRPr="0086270C">
        <w:rPr>
          <w:rFonts w:eastAsia="Arial"/>
          <w:lang w:val="en-US"/>
        </w:rPr>
        <w:t xml:space="preserve"> Đắk Lắk</w:t>
      </w:r>
      <w:r w:rsidRPr="0086270C">
        <w:rPr>
          <w:rFonts w:eastAsia="Arial"/>
          <w:lang w:val="vi-VN"/>
        </w:rPr>
        <w:t>...)</w:t>
      </w:r>
      <w:r w:rsidRPr="0086270C">
        <w:rPr>
          <w:rFonts w:eastAsia="Arial"/>
          <w:vertAlign w:val="superscript"/>
          <w:lang w:val="vi-VN"/>
        </w:rPr>
        <w:footnoteReference w:id="12"/>
      </w:r>
      <w:r w:rsidRPr="0086270C">
        <w:rPr>
          <w:rFonts w:eastAsia="Arial"/>
          <w:lang w:val="vi-VN"/>
        </w:rPr>
        <w:t>.</w:t>
      </w:r>
    </w:p>
    <w:p w:rsidR="0001704E"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Đối với Quỹ đầu tư phát triển địa phương, trên cả nước hiện có 42 Quỹ đầu tư phát triển địa phương thành lập và hoạt động theo quy định của Nghị định số 147/2020/NĐ-CP ngày 18/12/2020 của Chính phủ với mô hình là tổ chức tài chính nhà nước ngoài ngân sách, có tư cách pháp nhân và hoạt động theo nguyên tắc tự chủ, tự chịu trách nhiệm. Quỹ thực hiện chức năng cho vay và đầu tư tại địa phương nhằm góp phần thúc đẩy phát triển kinh tế - xã hội của địa phương, bao gồm lĩnh vực nhà ở.</w:t>
      </w:r>
    </w:p>
    <w:p w:rsidR="0001704E" w:rsidRPr="00D37ADD"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vi-VN"/>
        </w:rPr>
      </w:pPr>
      <w:r w:rsidRPr="0086270C">
        <w:rPr>
          <w:lang w:val="fr-FR"/>
        </w:rPr>
        <w:t>Theo báo cáo tài chính kiểm toán năm 2023 của các Quỹ đầu tư phát triển địa phương, có 06 Quỹ đã thực hiện cho vay đối với các dự án nhà ở xã hội với tổng dư nợ đến hết năm 2023 là 825,7 tỷ đồng. Đồng thời, có 03 Quỹ nhận ủy thác từ Quỹ phát triển nhà ở và có thực hiện hoạt động cho vay các dự án nhà ở xã hội với tổng dư nợ đến cuối năm 2023 là 210,4 tỷ đồng.</w:t>
      </w:r>
      <w:r w:rsidR="00D37ADD">
        <w:rPr>
          <w:lang w:val="vi-VN"/>
        </w:rPr>
        <w:t xml:space="preserve"> Tổng quy mô cho vay, ủy thác cho vay phát triển nhà ở của các Quỹ đầu tư phát triển đạ phương đến hết năm 2023 đạt 1</w:t>
      </w:r>
      <w:r w:rsidR="00E11BC5">
        <w:rPr>
          <w:lang w:val="en-US"/>
        </w:rPr>
        <w:t>.</w:t>
      </w:r>
      <w:r w:rsidR="00D37ADD">
        <w:rPr>
          <w:lang w:val="vi-VN"/>
        </w:rPr>
        <w:t>036</w:t>
      </w:r>
      <w:r w:rsidR="00E11BC5">
        <w:rPr>
          <w:lang w:val="en-US"/>
        </w:rPr>
        <w:t>,</w:t>
      </w:r>
      <w:r w:rsidR="00D37ADD">
        <w:rPr>
          <w:lang w:val="vi-VN"/>
        </w:rPr>
        <w:t>1 tỷ đồng</w:t>
      </w:r>
      <w:r w:rsidR="006C1048">
        <w:rPr>
          <w:lang w:val="vi-VN"/>
        </w:rPr>
        <w:t xml:space="preserve"> còn</w:t>
      </w:r>
      <w:r w:rsidR="00D37ADD">
        <w:rPr>
          <w:lang w:val="vi-VN"/>
        </w:rPr>
        <w:t xml:space="preserve"> rất khiêm tốn</w:t>
      </w:r>
      <w:r w:rsidR="006C1048">
        <w:rPr>
          <w:lang w:val="vi-VN"/>
        </w:rPr>
        <w:t>.</w:t>
      </w:r>
    </w:p>
    <w:p w:rsidR="00BF1305" w:rsidRPr="0086270C"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fr-FR"/>
        </w:rPr>
      </w:pPr>
      <w:r w:rsidRPr="0086270C">
        <w:rPr>
          <w:b/>
          <w:bCs/>
          <w:i/>
          <w:iCs/>
          <w:u w:val="single"/>
          <w:lang w:val="fr-FR"/>
        </w:rPr>
        <w:t>Đánh giá:</w:t>
      </w:r>
      <w:r w:rsidRPr="0086270C">
        <w:rPr>
          <w:i/>
          <w:iCs/>
          <w:lang w:val="fr-FR"/>
        </w:rPr>
        <w:t xml:space="preserve"> </w:t>
      </w:r>
    </w:p>
    <w:p w:rsidR="00BF1305" w:rsidRPr="0086270C" w:rsidRDefault="00BF1305"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Do số lượng Quỹ phát triển nhà ở tại địa phương thực tế được thành lập chỉ là 9 Quỹ và có quy mô nhỏ, hoạt động hạn chế (chỉ có 2 Quỹ hoạt động độc lập). Đồng thời, chức năng, nhiệm vụ của Quỹ phát triển nhà ở (huy động vốn để cho vay phát triển nhà ở xã hội) trùng lắp với chức năng, nhiệm vụ của Quỹ đầu tư phát triển địa phương, trong bối cảnh ngân sách địa phương còn nhiều khóa khăn, việc duy trì 2 hình thức quỹ tách biệt ở địa phương gây phân tán, lãng phí nguồn lực, khó triển khai các dự án có quy mô lớn, Bộ Tài chính đã kiến nghị bỏ quy định về thành lập Quỹ phát triển nhà ở tại các địa phương khi xây dựng Luật Nhà ở năm 2014. Theo đó, h</w:t>
      </w:r>
      <w:r w:rsidR="0001704E" w:rsidRPr="0086270C">
        <w:rPr>
          <w:lang w:val="fr-FR"/>
        </w:rPr>
        <w:t xml:space="preserve">iện nay không có căn cứ pháp lý để thành lập Quỹ phát triển nhà ở tại địa phương, số lượng quỹ phát triển nhà ở địa phương hạn chế, chủ yếu là các quỹ có quy mô vốn nhỏ. </w:t>
      </w:r>
    </w:p>
    <w:p w:rsidR="0001704E" w:rsidRDefault="0001704E"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Bên cạnh đó, hệ thống các Quỹ đầu tư phát triển địa phương đang được triển khai tại 42/63 địa phương với phạm vi cho vay, đầu tư khá đa dạng, trong đó có các dự án nhà ở xã hội (cho vay để xây dựng mới, cải tạo, sửa chữa các dự án nhà ở xã hội đối với chủ đầu tư). Tuy nhiên, số lượng dự án và quy mô cho vay, đầu tư các dự án nhà ở xã hội của các Quỹ đầu tư phát triển địa phương rất thấp do nguồn lực có hạn trong khi địa phương có nhiều mục tiêu ưu tiên.</w:t>
      </w:r>
    </w:p>
    <w:p w:rsidR="00A27EBF" w:rsidRPr="00A27EBF"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i/>
          <w:iCs/>
          <w:lang w:val="fr-FR"/>
        </w:rPr>
      </w:pPr>
      <w:r w:rsidRPr="00A27EBF">
        <w:rPr>
          <w:b/>
          <w:bCs/>
          <w:i/>
          <w:iCs/>
          <w:lang w:val="fr-FR"/>
        </w:rPr>
        <w:t>2.5. Đánh giá chung:</w:t>
      </w:r>
    </w:p>
    <w:p w:rsidR="00A27EBF" w:rsidRPr="00544F62"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544F62">
        <w:rPr>
          <w:i/>
          <w:iCs/>
          <w:lang w:val="fr-FR"/>
        </w:rPr>
        <w:t xml:space="preserve">- </w:t>
      </w:r>
      <w:r>
        <w:rPr>
          <w:iCs/>
          <w:lang w:val="fr-FR"/>
        </w:rPr>
        <w:t xml:space="preserve">Thực hiện chủ trương của Đảng, Chính phủ về ưu tiên phát triển nhà ở xã hội, các định chế tài chính như NHCSXH, NHTM, NHPT, Quỹ phát triển nhà ở, Quỹ đầu tư phát triển địa phương đa và đang triển khai các chương trình cho vay phát triển nhà ở xã hội, cho vay các cá nhân có nhu cầu về nhà ở xã hội trên phạm vi cả nước. Trong đó, </w:t>
      </w:r>
      <w:r w:rsidRPr="00544F62">
        <w:rPr>
          <w:lang w:val="fr-FR"/>
        </w:rPr>
        <w:t xml:space="preserve">NHCSXH là tổ chức thực hiện tích cực nhất các chương trình tín dụng chính sách về phát triển nhà ở xã hội thời gian qua với dư nợ cho vay nhà ở xã hội tăng trưởng đều qua các năm. Việc triển khai các </w:t>
      </w:r>
      <w:r w:rsidRPr="00544F62">
        <w:rPr>
          <w:lang w:val="en-US"/>
        </w:rPr>
        <w:t>gói tín dụng cho vay nhà ở xã hội thông qua các NHTM có quy mô tương đối lớn với đối tượng cho vay là cả chủ đầu tư dự án và người có nhu cầu về nhà ở xã hội</w:t>
      </w:r>
      <w:r>
        <w:rPr>
          <w:lang w:val="en-US"/>
        </w:rPr>
        <w:t>, t</w:t>
      </w:r>
      <w:r w:rsidRPr="00544F62">
        <w:rPr>
          <w:lang w:val="en-US"/>
        </w:rPr>
        <w:t>uy nhiên, tổng số giải ngân các chương trình tín dụng ưu đãi nhà ở xã hội còn hạn chế. Ngoài nguồn cung hạn chế, nguyên nhân khiến gói tín dụng</w:t>
      </w:r>
      <w:r>
        <w:rPr>
          <w:lang w:val="en-US"/>
        </w:rPr>
        <w:t xml:space="preserve"> qua các NHTM</w:t>
      </w:r>
      <w:r w:rsidRPr="00544F62">
        <w:rPr>
          <w:lang w:val="en-US"/>
        </w:rPr>
        <w:t xml:space="preserve"> giải ngân chậm theo NHNN là do một số dự án gặp vướng mắc về pháp lý; đa số người dân trên địa bàn thuộc khu vực nông thôn, có thu nhập thấp hoặc đối với công nhân trong các khu công nghiệp không có nhu cầu ở dài hạn...</w:t>
      </w:r>
    </w:p>
    <w:p w:rsidR="00A27EBF" w:rsidRPr="00544F62"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544F62">
        <w:rPr>
          <w:lang w:val="fr-FR"/>
        </w:rPr>
        <w:t xml:space="preserve">- </w:t>
      </w:r>
      <w:r>
        <w:rPr>
          <w:lang w:val="fr-FR"/>
        </w:rPr>
        <w:t>Thực tế, triển khai thời gian qua cho thấy, v</w:t>
      </w:r>
      <w:r w:rsidRPr="00544F62">
        <w:rPr>
          <w:lang w:val="fr-FR"/>
        </w:rPr>
        <w:t>iệc triển khai cho vay ưu đãi các đối tượng theo quy định pháp luật về nhà ở, nhà ở xã hội tại NHCSXH, các NHTM và cho vay đầu tư nhà ở xã hội tại NHPT hiện còn một số vướng mắc, cụ thể:</w:t>
      </w:r>
    </w:p>
    <w:p w:rsidR="00A27EBF" w:rsidRPr="00544F62"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544F62">
        <w:rPr>
          <w:lang w:val="pt-BR"/>
        </w:rPr>
        <w:t xml:space="preserve">+ </w:t>
      </w:r>
      <w:r w:rsidRPr="00555170">
        <w:rPr>
          <w:i/>
          <w:lang w:val="pt-BR"/>
        </w:rPr>
        <w:t>Một là</w:t>
      </w:r>
      <w:r>
        <w:rPr>
          <w:lang w:val="pt-BR"/>
        </w:rPr>
        <w:t>, n</w:t>
      </w:r>
      <w:r w:rsidRPr="00544F62">
        <w:rPr>
          <w:lang w:val="pt-BR"/>
        </w:rPr>
        <w:t>guồn vốn Nhà nước hỗ trợ cho vay nhà ở xã hội chưa được bố trí kịp thời, đầy đủ để thực hiện chỉ tiêu kế hoạch cho vay theo quy định của Chính phủ; nguồn vốn tín dụng đầu tư của Nhà nước có hạn, trong khi danh mục đối tượng các dự án vay vốn tín dụng đầu tư đa dạng, nhu cầu lớn</w:t>
      </w:r>
      <w:r>
        <w:rPr>
          <w:lang w:val="pt-BR"/>
        </w:rPr>
        <w:t>, nên nguồn vốn tín dụng đầu tư dành cho nhà ở xã hội còn hạn chế.</w:t>
      </w:r>
    </w:p>
    <w:p w:rsidR="00A27EBF" w:rsidRPr="00544F62"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544F62">
        <w:rPr>
          <w:lang w:val="pt-BR"/>
        </w:rPr>
        <w:t xml:space="preserve">+ </w:t>
      </w:r>
      <w:r w:rsidRPr="00555170">
        <w:rPr>
          <w:i/>
          <w:lang w:val="pt-BR"/>
        </w:rPr>
        <w:t>Hai là</w:t>
      </w:r>
      <w:r>
        <w:rPr>
          <w:lang w:val="pt-BR"/>
        </w:rPr>
        <w:t>, c</w:t>
      </w:r>
      <w:r w:rsidRPr="00544F62">
        <w:rPr>
          <w:lang w:val="pt-BR"/>
        </w:rPr>
        <w:t>ơ chế, chính sách cho vay nhà ở xã hội theo Nghị định số 100/2015/NĐ-CP trước đây c</w:t>
      </w:r>
      <w:r>
        <w:rPr>
          <w:lang w:val="pt-BR"/>
        </w:rPr>
        <w:t>òn</w:t>
      </w:r>
      <w:r w:rsidRPr="00544F62">
        <w:rPr>
          <w:lang w:val="pt-BR"/>
        </w:rPr>
        <w:t xml:space="preserve"> nhiều nội dung bất cập về đối tượng thụ hưởng chính sách, mức vốn cho vay thấp, lãi suất cho vay và yêu cầu điều kiện vay đối với khách hàng.</w:t>
      </w:r>
    </w:p>
    <w:p w:rsidR="00A27EBF"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sidRPr="00544F62">
        <w:rPr>
          <w:lang w:val="en-US"/>
        </w:rPr>
        <w:t xml:space="preserve">+ </w:t>
      </w:r>
      <w:r w:rsidRPr="00555170">
        <w:rPr>
          <w:i/>
          <w:lang w:val="en-US"/>
        </w:rPr>
        <w:t>Ba là</w:t>
      </w:r>
      <w:r>
        <w:rPr>
          <w:lang w:val="en-US"/>
        </w:rPr>
        <w:t>, cô</w:t>
      </w:r>
      <w:r w:rsidRPr="00544F62">
        <w:rPr>
          <w:lang w:val="en-US"/>
        </w:rPr>
        <w:t>ng tác tổ chức thực hiện cho vay nhà ở xã hội đối với cá nhân còn một số tồn tại, hạn chế liên quan đến c</w:t>
      </w:r>
      <w:r w:rsidRPr="00544F62">
        <w:rPr>
          <w:lang w:val="vi-VN"/>
        </w:rPr>
        <w:t>ông tác quản lý khoản vay, công tác thu nợ đến hạn và các nội dung liên quan đến tiền gửi tiết kiệm </w:t>
      </w:r>
      <w:r w:rsidRPr="00544F62">
        <w:rPr>
          <w:lang w:val="en-US"/>
        </w:rPr>
        <w:t>nhà ở xã hội.</w:t>
      </w:r>
    </w:p>
    <w:p w:rsidR="00A27EBF"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 xml:space="preserve">+ </w:t>
      </w:r>
      <w:r w:rsidRPr="00555170">
        <w:rPr>
          <w:i/>
          <w:lang w:val="en-US"/>
        </w:rPr>
        <w:t>Bốn là</w:t>
      </w:r>
      <w:r>
        <w:rPr>
          <w:lang w:val="en-US"/>
        </w:rPr>
        <w:t>, năng lực huy động vốn của các ngân hàng chính sách và các Quỹ phát triển nhà ở, Quỹ đầu tư phát triển địa phương còn rất hạn chế; việc huy động vốn từ phát hành trái phiếu được Chính phủ bảo lãnh của 2 ngân hàng chính sách những năm gần đây không thực hiện thường xuyên (</w:t>
      </w:r>
      <w:r w:rsidR="00572A77">
        <w:rPr>
          <w:lang w:val="en-US"/>
        </w:rPr>
        <w:t xml:space="preserve">giai đoạn 2022-2024, chỉ có NHCSXH phát hành để trả nợ gốc và bảo đảm nguồn vốn triển khai </w:t>
      </w:r>
      <w:r w:rsidR="00572A77" w:rsidRPr="00555170">
        <w:rPr>
          <w:lang w:val="en-US"/>
        </w:rPr>
        <w:t>Nghị quyết số 43/2022/QH15 của Quốc hội về chính sách tài khóa, tiền tệ hỗ trợ Chương trình phục hồi và phát triển kinh tế - xã hội</w:t>
      </w:r>
      <w:r w:rsidR="00572A77">
        <w:rPr>
          <w:lang w:val="en-US"/>
        </w:rPr>
        <w:t xml:space="preserve"> với tổng khối lượng trái phiếu phát hành là 42.451 tỷ đồng</w:t>
      </w:r>
      <w:r>
        <w:rPr>
          <w:lang w:val="en-US"/>
        </w:rPr>
        <w:t>).</w:t>
      </w:r>
    </w:p>
    <w:p w:rsidR="00A27EBF" w:rsidRPr="00544F62"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 xml:space="preserve">+ </w:t>
      </w:r>
      <w:r w:rsidRPr="00555170">
        <w:rPr>
          <w:i/>
          <w:lang w:val="en-US"/>
        </w:rPr>
        <w:t>Năm là</w:t>
      </w:r>
      <w:r>
        <w:rPr>
          <w:lang w:val="en-US"/>
        </w:rPr>
        <w:t>, công tác đánh giá tổ chức thực hiện cho vay nhà ở xã hội chưa được chú trọng nên trong triển khai chưa có sự hỗ trợ, phối hợp giữa các định chế nên hiệu quả chưa cao.</w:t>
      </w:r>
    </w:p>
    <w:p w:rsidR="00A27EBF" w:rsidRPr="00544F62"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3168A6">
        <w:rPr>
          <w:bCs/>
          <w:lang w:val="fr-FR"/>
        </w:rPr>
        <w:t>+</w:t>
      </w:r>
      <w:r w:rsidRPr="003168A6">
        <w:rPr>
          <w:bCs/>
          <w:i/>
          <w:lang w:val="fr-FR"/>
        </w:rPr>
        <w:t xml:space="preserve"> Sáu là</w:t>
      </w:r>
      <w:r w:rsidRPr="003168A6">
        <w:rPr>
          <w:bCs/>
          <w:lang w:val="fr-FR"/>
        </w:rPr>
        <w:t xml:space="preserve">, đối với việc thành lập </w:t>
      </w:r>
      <w:r>
        <w:rPr>
          <w:lang w:val="fr-FR"/>
        </w:rPr>
        <w:t>quỹ phát triển nhà ở, h</w:t>
      </w:r>
      <w:r w:rsidRPr="003168A6">
        <w:rPr>
          <w:lang w:val="fr-FR"/>
        </w:rPr>
        <w:t>iện</w:t>
      </w:r>
      <w:r w:rsidRPr="00544F62">
        <w:rPr>
          <w:lang w:val="fr-FR"/>
        </w:rPr>
        <w:t xml:space="preserve"> nay không có căn cứ pháp lý để thành lập Quỹ phát triển nhà ở tại địa phương, số lượng quỹ phát triển nhà ở địa phương hạn chế, chủ yếu là các quỹ có quy mô vốn nhỏ. Hệ thống các Quỹ đầu tư phát triển địa phương đang được triển khai tại 42/63 địa phương với phạm vi cho vay, đầu tư khá đa dạng, trong đó có các dự án nhà ở xã hội. Tuy nhiên, số lượng dự án và quy mô cho vay, đầu tư các dự án nhà ở xã hội của các Quỹ đầu tư phát triển địa phương rất thấp do nguồn lực có hạn trong khi địa phương có nhiều mục tiêu ưu tiên.</w:t>
      </w:r>
    </w:p>
    <w:p w:rsidR="006169C4"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lang w:val="fr-FR"/>
        </w:rPr>
      </w:pPr>
      <w:r w:rsidRPr="0086270C">
        <w:rPr>
          <w:b/>
          <w:bCs/>
          <w:lang w:val="fr-FR"/>
        </w:rPr>
        <w:t>3. Kinh nghiệm</w:t>
      </w:r>
      <w:r w:rsidR="006C1048">
        <w:rPr>
          <w:b/>
          <w:bCs/>
          <w:lang w:val="vi-VN"/>
        </w:rPr>
        <w:t xml:space="preserve"> tại</w:t>
      </w:r>
      <w:r w:rsidRPr="0086270C">
        <w:rPr>
          <w:b/>
          <w:bCs/>
          <w:lang w:val="fr-FR"/>
        </w:rPr>
        <w:t xml:space="preserve"> một số</w:t>
      </w:r>
      <w:r w:rsidR="006C1048">
        <w:rPr>
          <w:b/>
          <w:bCs/>
          <w:lang w:val="vi-VN"/>
        </w:rPr>
        <w:t xml:space="preserve"> quốc gia</w:t>
      </w:r>
      <w:r w:rsidRPr="0086270C">
        <w:rPr>
          <w:b/>
          <w:bCs/>
          <w:lang w:val="fr-FR"/>
        </w:rPr>
        <w:t xml:space="preserve"> về chính sách phát triển nhà ở xã hội thông qua các định chế tài chính</w:t>
      </w:r>
    </w:p>
    <w:p w:rsidR="006169C4" w:rsidRPr="0086270C" w:rsidRDefault="006C1048"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vi-VN"/>
        </w:rPr>
        <w:t>Qua nghiên cứu kinh nghiệm của một số quốc gia như: Brazil, Canada, Trung Quốc, một số nước châu Âu và châu Á, v</w:t>
      </w:r>
      <w:r w:rsidR="006169C4" w:rsidRPr="0086270C">
        <w:rPr>
          <w:lang w:val="fr-FR"/>
        </w:rPr>
        <w:t xml:space="preserve">ấn đề về nhà ở và thị trường nhà ở tại các </w:t>
      </w:r>
      <w:r>
        <w:rPr>
          <w:lang w:val="vi-VN"/>
        </w:rPr>
        <w:t>quốc gia</w:t>
      </w:r>
      <w:r w:rsidR="006169C4" w:rsidRPr="0086270C">
        <w:rPr>
          <w:lang w:val="fr-FR"/>
        </w:rPr>
        <w:t xml:space="preserve"> được Chính phủ rất quan tâm và là một trong những nội dung của chính sách an sinh xã hội. Theo đó, có 03 hình thức phổ biến để hỗ trợ nguồn tài chính dài hạn, lãi suất ổn định cho nhu cầu nhà ở, trong đó có nhà ở xã hội của người dân như sau:</w:t>
      </w:r>
    </w:p>
    <w:p w:rsidR="006169C4"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iCs/>
          <w:lang w:val="fr-FR"/>
        </w:rPr>
      </w:pPr>
      <w:r w:rsidRPr="0086270C">
        <w:rPr>
          <w:i/>
          <w:iCs/>
          <w:lang w:val="fr-FR"/>
        </w:rPr>
        <w:t>a) Triển khai các chương trình nhà ở xã hội do Chính phủ cấp vốn thông qua một số định chế quản lý nhà ở</w:t>
      </w:r>
    </w:p>
    <w:p w:rsidR="006169C4"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xml:space="preserve">- Năm 2009, Chính phủ Brazil triển khai Chương trình xây dựng 1 triệu căn nhà ở xã hội với tổng quy mô khoảng 18 triệu tỷ USD. Nguồn vốn để thực hiện Chương trình này </w:t>
      </w:r>
      <w:r w:rsidR="006C1048">
        <w:rPr>
          <w:lang w:val="vi-VN"/>
        </w:rPr>
        <w:t xml:space="preserve">chủ yếu </w:t>
      </w:r>
      <w:r w:rsidRPr="0086270C">
        <w:rPr>
          <w:lang w:val="fr-FR"/>
        </w:rPr>
        <w:t xml:space="preserve">từ </w:t>
      </w:r>
      <w:r w:rsidR="006C1048">
        <w:rPr>
          <w:lang w:val="vi-VN"/>
        </w:rPr>
        <w:t xml:space="preserve"> Ngân hàng </w:t>
      </w:r>
      <w:r w:rsidRPr="0086270C">
        <w:rPr>
          <w:lang w:val="fr-FR"/>
        </w:rPr>
        <w:t>Caixa Econômica Federal - một ngân hàng</w:t>
      </w:r>
      <w:r w:rsidR="006C1048">
        <w:rPr>
          <w:lang w:val="vi-VN"/>
        </w:rPr>
        <w:t xml:space="preserve"> thương mại</w:t>
      </w:r>
      <w:r w:rsidRPr="0086270C">
        <w:rPr>
          <w:lang w:val="fr-FR"/>
        </w:rPr>
        <w:t xml:space="preserve"> có vốn nhà nước của Brazil .</w:t>
      </w:r>
    </w:p>
    <w:p w:rsidR="006169C4"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Tại Canada, Tổng công ty Dịch vụ nhà ở xã hội thực hiện cung cấp chương trình nhà ở phi lợi nhuận tại một số địa phương của nước này. Doanh nghiệp này thực hiện phát triển, quản lý và cung cấp dịch vụ cho thuê nhà ở xã hội</w:t>
      </w:r>
      <w:r w:rsidR="006C1048">
        <w:rPr>
          <w:lang w:val="vi-VN"/>
        </w:rPr>
        <w:t xml:space="preserve"> với </w:t>
      </w:r>
      <w:r w:rsidR="006C1048" w:rsidRPr="00DD1C1D">
        <w:rPr>
          <w:lang w:val="vi-VN"/>
        </w:rPr>
        <w:t>nguồn vốn</w:t>
      </w:r>
      <w:r w:rsidR="00DD1C1D" w:rsidRPr="00DD1C1D">
        <w:rPr>
          <w:lang w:val="en-US"/>
        </w:rPr>
        <w:t xml:space="preserve"> hỗ trợ từ chính quyền địa phương và doanh thu từ kinh doanh các dịch vụ nhà ở (dịch vụ năng lượng, dịch vụ bảo hiểm</w:t>
      </w:r>
      <w:r w:rsidR="006C1048" w:rsidRPr="00DD1C1D">
        <w:rPr>
          <w:lang w:val="vi-VN"/>
        </w:rPr>
        <w:t>..</w:t>
      </w:r>
      <w:r w:rsidRPr="00DD1C1D">
        <w:rPr>
          <w:lang w:val="fr-FR"/>
        </w:rPr>
        <w:t>.</w:t>
      </w:r>
      <w:r w:rsidR="00DD1C1D" w:rsidRPr="00DD1C1D">
        <w:rPr>
          <w:lang w:val="fr-FR"/>
        </w:rPr>
        <w:t>)</w:t>
      </w:r>
    </w:p>
    <w:p w:rsidR="006169C4"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Tại Trung Quốc, triển khai Kế hoạch 5 năm lần thứ 12, một trong các mục tiêu của Chính phủ là xây dựng 36 triệu căn nhà ở xã hội đến năm 2015. Kính phí triển khai chương trình này là thông qua cơ chế chia sẻ hợp tác công tư, trong đó khoảng 5 nghìn tỷ nhân dân tệ được đóng góp từ Tổng công ty Vốn quốc tế Trung Quốc.</w:t>
      </w:r>
    </w:p>
    <w:p w:rsidR="00A27EBF"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fr-FR"/>
        </w:rPr>
        <w:t xml:space="preserve">Hiện nay, Chính phủ Trung Quốc triển khai 03 chương trình nhà ở có hỗ trợ của nhà nước, bao gồm : (i) nhà cho thuê công, (ii) Nhà cho thuê do Chính phủ trợ cấp và (iii) Nhà đồng sở hữu. </w:t>
      </w:r>
      <w:r w:rsidRPr="004E1E94">
        <w:rPr>
          <w:lang w:val="fr-FR"/>
        </w:rPr>
        <w:t xml:space="preserve">Bộ </w:t>
      </w:r>
      <w:r>
        <w:rPr>
          <w:lang w:val="fr-FR"/>
        </w:rPr>
        <w:t>N</w:t>
      </w:r>
      <w:r w:rsidRPr="004E1E94">
        <w:rPr>
          <w:lang w:val="fr-FR"/>
        </w:rPr>
        <w:t xml:space="preserve">hà ở </w:t>
      </w:r>
      <w:r>
        <w:rPr>
          <w:lang w:val="fr-FR"/>
        </w:rPr>
        <w:t xml:space="preserve">Trung Quốc </w:t>
      </w:r>
      <w:r w:rsidRPr="004E1E94">
        <w:rPr>
          <w:lang w:val="fr-FR"/>
        </w:rPr>
        <w:t>cho biết trong kế hoạch 5 năm lần thứ 14 cho giai đoạn 2021-2025</w:t>
      </w:r>
      <w:r>
        <w:rPr>
          <w:lang w:val="fr-FR"/>
        </w:rPr>
        <w:t xml:space="preserve"> xác định </w:t>
      </w:r>
      <w:r w:rsidRPr="004E1E94">
        <w:rPr>
          <w:lang w:val="fr-FR"/>
        </w:rPr>
        <w:t>mục tiêu cung cấp 8,7 triệu đơn vị nhà ở cho thuê được chính phủ trợ cấp.</w:t>
      </w:r>
      <w:r>
        <w:rPr>
          <w:lang w:val="fr-FR"/>
        </w:rPr>
        <w:t xml:space="preserve"> </w:t>
      </w:r>
      <w:r w:rsidRPr="004E1E94">
        <w:rPr>
          <w:lang w:val="fr-FR"/>
        </w:rPr>
        <w:t>Theo số liệu chính thức, đến cuối năm 2023, hai phần ba trong số đó đã được bàn giao.</w:t>
      </w:r>
      <w:r>
        <w:rPr>
          <w:lang w:val="fr-FR"/>
        </w:rPr>
        <w:t xml:space="preserve"> Về nguồn vốn, c</w:t>
      </w:r>
      <w:r w:rsidRPr="00F377E0">
        <w:rPr>
          <w:lang w:val="fr-FR"/>
        </w:rPr>
        <w:t>hính quyền địa phương</w:t>
      </w:r>
      <w:r>
        <w:rPr>
          <w:lang w:val="fr-FR"/>
        </w:rPr>
        <w:t xml:space="preserve"> là cơ quan </w:t>
      </w:r>
      <w:r w:rsidRPr="00F377E0">
        <w:rPr>
          <w:lang w:val="fr-FR"/>
        </w:rPr>
        <w:t>cung cấp phần lớn nguồn tài trợ</w:t>
      </w:r>
      <w:r>
        <w:rPr>
          <w:lang w:val="fr-FR"/>
        </w:rPr>
        <w:t xml:space="preserve"> cho các chương trình nhà ở xã hội, tuy nhiên, </w:t>
      </w:r>
      <w:r w:rsidRPr="00F377E0">
        <w:rPr>
          <w:lang w:val="fr-FR"/>
        </w:rPr>
        <w:t xml:space="preserve">cuộc khủng hoảng bất động sản </w:t>
      </w:r>
      <w:r>
        <w:rPr>
          <w:lang w:val="fr-FR"/>
        </w:rPr>
        <w:t xml:space="preserve">thời gian qua đã giảm mạnh </w:t>
      </w:r>
      <w:r w:rsidRPr="00F377E0">
        <w:rPr>
          <w:lang w:val="fr-FR"/>
        </w:rPr>
        <w:t>doanh thu tài chính</w:t>
      </w:r>
      <w:r>
        <w:rPr>
          <w:lang w:val="fr-FR"/>
        </w:rPr>
        <w:t xml:space="preserve"> của chính quyền địa phương và</w:t>
      </w:r>
      <w:r w:rsidRPr="00F377E0">
        <w:rPr>
          <w:lang w:val="fr-FR"/>
        </w:rPr>
        <w:t xml:space="preserve"> các cơ quan trung ương đang vào cuộc</w:t>
      </w:r>
      <w:r>
        <w:rPr>
          <w:lang w:val="fr-FR"/>
        </w:rPr>
        <w:t xml:space="preserve"> hỗ trợ, cụ thể :</w:t>
      </w:r>
    </w:p>
    <w:p w:rsidR="00A27EBF"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fr-FR"/>
        </w:rPr>
        <w:t xml:space="preserve">+ </w:t>
      </w:r>
      <w:r w:rsidRPr="00F377E0">
        <w:rPr>
          <w:lang w:val="fr-FR"/>
        </w:rPr>
        <w:t xml:space="preserve">Bộ </w:t>
      </w:r>
      <w:r>
        <w:rPr>
          <w:lang w:val="fr-FR"/>
        </w:rPr>
        <w:t>T</w:t>
      </w:r>
      <w:r w:rsidRPr="00F377E0">
        <w:rPr>
          <w:lang w:val="fr-FR"/>
        </w:rPr>
        <w:t>ài chính</w:t>
      </w:r>
      <w:r w:rsidR="00B44A90">
        <w:rPr>
          <w:lang w:val="fr-FR"/>
        </w:rPr>
        <w:t xml:space="preserve"> Trung Quốc</w:t>
      </w:r>
      <w:r w:rsidRPr="00F377E0">
        <w:rPr>
          <w:lang w:val="fr-FR"/>
        </w:rPr>
        <w:t xml:space="preserve"> vào tháng 11 năm </w:t>
      </w:r>
      <w:r>
        <w:rPr>
          <w:lang w:val="fr-FR"/>
        </w:rPr>
        <w:t>2023</w:t>
      </w:r>
      <w:r w:rsidRPr="00F377E0">
        <w:rPr>
          <w:lang w:val="fr-FR"/>
        </w:rPr>
        <w:t xml:space="preserve"> đã trả trước 42,5 tỷ nhân dân tệ (5,87 tỷ đô la) tiền trợ cấp cho năm 2024 cho các dự án nhà ở giá rẻ tại đô thị.</w:t>
      </w:r>
      <w:r>
        <w:rPr>
          <w:lang w:val="fr-FR"/>
        </w:rPr>
        <w:t xml:space="preserve"> </w:t>
      </w:r>
    </w:p>
    <w:p w:rsidR="00A27EBF" w:rsidRPr="0086270C" w:rsidRDefault="00A27EBF" w:rsidP="00A27EBF">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fr-FR"/>
        </w:rPr>
        <w:t>+ Ngân hàng T</w:t>
      </w:r>
      <w:r w:rsidRPr="00F377E0">
        <w:rPr>
          <w:lang w:val="fr-FR"/>
        </w:rPr>
        <w:t xml:space="preserve">rung ương </w:t>
      </w:r>
      <w:r>
        <w:rPr>
          <w:lang w:val="fr-FR"/>
        </w:rPr>
        <w:t xml:space="preserve">Trung Quốc (PBoC) </w:t>
      </w:r>
      <w:r w:rsidRPr="00F377E0">
        <w:rPr>
          <w:lang w:val="fr-FR"/>
        </w:rPr>
        <w:t>vào tháng 1</w:t>
      </w:r>
      <w:r>
        <w:rPr>
          <w:lang w:val="fr-FR"/>
        </w:rPr>
        <w:t xml:space="preserve">/2024 </w:t>
      </w:r>
      <w:r w:rsidRPr="00F377E0">
        <w:rPr>
          <w:lang w:val="fr-FR"/>
        </w:rPr>
        <w:t>đã tăng hạn ngạch cho vay bổ sung đã cam kết thêm 500 tỷ nhân dân tệ cho nhà ở giá rẻ, cải tạo đô thị và cơ sở hạ tầng.</w:t>
      </w:r>
      <w:r>
        <w:rPr>
          <w:lang w:val="fr-FR"/>
        </w:rPr>
        <w:t xml:space="preserve"> </w:t>
      </w:r>
      <w:r w:rsidRPr="00F377E0">
        <w:rPr>
          <w:lang w:val="fr-FR"/>
        </w:rPr>
        <w:t>Vào tháng 5</w:t>
      </w:r>
      <w:r>
        <w:rPr>
          <w:lang w:val="fr-FR"/>
        </w:rPr>
        <w:t>/20224</w:t>
      </w:r>
      <w:r w:rsidRPr="00F377E0">
        <w:rPr>
          <w:lang w:val="fr-FR"/>
        </w:rPr>
        <w:t xml:space="preserve">, </w:t>
      </w:r>
      <w:r>
        <w:rPr>
          <w:lang w:val="fr-FR"/>
        </w:rPr>
        <w:t xml:space="preserve">PBoC </w:t>
      </w:r>
      <w:r w:rsidRPr="00F377E0">
        <w:rPr>
          <w:lang w:val="fr-FR"/>
        </w:rPr>
        <w:t>cũng đã triển khai một cơ sở cho vay lại 300 tỷ nhân dân tệ cho nhà ở giá rẻ. Các ngân hàng có thể sử dụng số tiền này để cho các doanh nghiệp nhà nước vay mua các căn hộ chưa bán được với "mức giá hợp lý" và chuyển đổi chúng thành nhà ở giá rẻ.</w:t>
      </w:r>
    </w:p>
    <w:p w:rsidR="00EF1469"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86270C">
        <w:rPr>
          <w:lang w:val="fr-FR"/>
        </w:rPr>
        <w:t>- Tại Châu Âu, chính sách phát triển nhà ở xã hội được Cộng đồng này đưa vào một trong những nội dung chi của Quỹ Châu Âu cho đầu tư chiến lược thuộc Ngân hàng Đầu tư Châu Âu (EIB) và Ủy ban Ngân hàng Phát triển Châu Âu (CEB).</w:t>
      </w:r>
    </w:p>
    <w:p w:rsidR="00EF1469"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i/>
          <w:noProof w:val="0"/>
          <w:lang w:val="en-US"/>
        </w:rPr>
      </w:pPr>
      <w:r w:rsidRPr="0086270C">
        <w:rPr>
          <w:i/>
          <w:noProof w:val="0"/>
          <w:lang w:val="en-US"/>
        </w:rPr>
        <w:t xml:space="preserve">b) </w:t>
      </w:r>
      <w:r w:rsidRPr="0086270C">
        <w:rPr>
          <w:i/>
          <w:noProof w:val="0"/>
          <w:lang w:val="vi-VN"/>
        </w:rPr>
        <w:t>Thành lập một định chế cho vay mua nhà có hỗ trợ của Nhà nước</w:t>
      </w:r>
    </w:p>
    <w:p w:rsidR="00EF1469"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noProof w:val="0"/>
          <w:lang w:val="en-US"/>
        </w:rPr>
      </w:pPr>
      <w:r w:rsidRPr="0086270C">
        <w:rPr>
          <w:noProof w:val="0"/>
          <w:lang w:val="vi-VN"/>
        </w:rPr>
        <w:t>- Một số nước Châu Á</w:t>
      </w:r>
      <w:r w:rsidR="006C1048">
        <w:rPr>
          <w:noProof w:val="0"/>
          <w:lang w:val="vi-VN"/>
        </w:rPr>
        <w:t xml:space="preserve"> </w:t>
      </w:r>
      <w:r w:rsidR="006C1048" w:rsidRPr="00424A2D">
        <w:rPr>
          <w:noProof w:val="0"/>
          <w:lang w:val="vi-VN"/>
        </w:rPr>
        <w:t>(</w:t>
      </w:r>
      <w:r w:rsidR="00925CA9" w:rsidRPr="00424A2D">
        <w:rPr>
          <w:noProof w:val="0"/>
          <w:lang w:val="en-US"/>
        </w:rPr>
        <w:t>Nhật Bản, Hàn Quốc, Singapore</w:t>
      </w:r>
      <w:r w:rsidR="006C1048" w:rsidRPr="00424A2D">
        <w:rPr>
          <w:noProof w:val="0"/>
          <w:lang w:val="vi-VN"/>
        </w:rPr>
        <w:t>...)</w:t>
      </w:r>
      <w:r w:rsidRPr="0086270C">
        <w:rPr>
          <w:noProof w:val="0"/>
          <w:lang w:val="vi-VN"/>
        </w:rPr>
        <w:t xml:space="preserve"> thành lập một tổ chức tài chính của Nhà nước cung cấp các khoản vay nhà ở</w:t>
      </w:r>
      <w:r w:rsidR="006C1048">
        <w:rPr>
          <w:noProof w:val="0"/>
          <w:lang w:val="vi-VN"/>
        </w:rPr>
        <w:t>. Tổ chức tài chính này</w:t>
      </w:r>
      <w:r w:rsidRPr="0086270C">
        <w:rPr>
          <w:noProof w:val="0"/>
          <w:lang w:val="vi-VN"/>
        </w:rPr>
        <w:t xml:space="preserve"> được huy động vốn từ phát hành trái phiếu có bảo lãnh của Chính phủ; người mua nhà không bắt buộc gửi tiết kiệm tại tổ chức này. Tổ chức này cấp tín dụng hỗ trợ người tham gia mua nhà, xây nhà hoặc sửa nhà; đồng thời góp phần thúc đẩy phát triển thị trường bất động sản và thị trường tài chính. </w:t>
      </w:r>
    </w:p>
    <w:p w:rsidR="00EF1469"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noProof w:val="0"/>
          <w:lang w:val="en-US"/>
        </w:rPr>
      </w:pPr>
      <w:r w:rsidRPr="0086270C">
        <w:rPr>
          <w:noProof w:val="0"/>
          <w:lang w:val="en-US"/>
        </w:rPr>
        <w:t>- Các tổ chức này cung cấp các khoản vay bất động sản (mortgage loan), dịch vụ bảo lãnh bất động sản (mortgage loan guarantee) hoặc bảo hiểm khoản vay nhà ở (housing loan insurance). Trên cơ sở các khoản vay bất động sản, các tổ chức này huy động vốn thông qua phát hành các chứng khoán dựa trên khoản vay, bao gồm các trái phiếu thế chấp bất động sản (mortgage backed securities, mortgage bonds).</w:t>
      </w:r>
    </w:p>
    <w:p w:rsidR="006169C4" w:rsidRP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09"/>
        <w:jc w:val="both"/>
        <w:rPr>
          <w:noProof w:val="0"/>
          <w:lang w:val="en-US"/>
        </w:rPr>
      </w:pPr>
      <w:r w:rsidRPr="0086270C">
        <w:rPr>
          <w:noProof w:val="0"/>
          <w:lang w:val="en-US"/>
        </w:rPr>
        <w:t>- Sự hỗ trợ của Nhà nước đối với hoạt động của các tổ chức này được thực hiện thông qua</w:t>
      </w:r>
      <w:r w:rsidR="006C1048">
        <w:rPr>
          <w:noProof w:val="0"/>
          <w:lang w:val="vi-VN"/>
        </w:rPr>
        <w:t xml:space="preserve"> cơ chế nhà nước cấp</w:t>
      </w:r>
      <w:r w:rsidRPr="0086270C">
        <w:rPr>
          <w:noProof w:val="0"/>
          <w:lang w:val="en-US"/>
        </w:rPr>
        <w:t xml:space="preserve"> vốn điều lệ và</w:t>
      </w:r>
      <w:r w:rsidR="006C1048">
        <w:rPr>
          <w:noProof w:val="0"/>
          <w:lang w:val="vi-VN"/>
        </w:rPr>
        <w:t xml:space="preserve"> Nhà nước</w:t>
      </w:r>
      <w:r w:rsidRPr="0086270C">
        <w:rPr>
          <w:noProof w:val="0"/>
          <w:lang w:val="en-US"/>
        </w:rPr>
        <w:t xml:space="preserve"> </w:t>
      </w:r>
      <w:r w:rsidRPr="00925CA9">
        <w:rPr>
          <w:noProof w:val="0"/>
          <w:lang w:val="en-US"/>
        </w:rPr>
        <w:t>bảo lãnh</w:t>
      </w:r>
      <w:r w:rsidR="006C1048" w:rsidRPr="00925CA9">
        <w:rPr>
          <w:noProof w:val="0"/>
          <w:lang w:val="vi-VN"/>
        </w:rPr>
        <w:t xml:space="preserve"> </w:t>
      </w:r>
      <w:r w:rsidR="00925CA9" w:rsidRPr="00925CA9">
        <w:rPr>
          <w:noProof w:val="0"/>
          <w:lang w:val="en-US"/>
        </w:rPr>
        <w:t xml:space="preserve">cho tổ chức này </w:t>
      </w:r>
      <w:r w:rsidR="006C1048" w:rsidRPr="00925CA9">
        <w:rPr>
          <w:noProof w:val="0"/>
          <w:lang w:val="vi-VN"/>
        </w:rPr>
        <w:t>huy động vốn</w:t>
      </w:r>
      <w:r w:rsidR="00925CA9" w:rsidRPr="00925CA9">
        <w:rPr>
          <w:noProof w:val="0"/>
          <w:lang w:val="en-US"/>
        </w:rPr>
        <w:t xml:space="preserve"> từ phát hành trái phiếu</w:t>
      </w:r>
      <w:r w:rsidRPr="0086270C">
        <w:rPr>
          <w:noProof w:val="0"/>
          <w:lang w:val="en-US"/>
        </w:rPr>
        <w:t>.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5"/>
        <w:gridCol w:w="1475"/>
        <w:gridCol w:w="1765"/>
        <w:gridCol w:w="2766"/>
      </w:tblGrid>
      <w:tr w:rsidR="006169C4" w:rsidRPr="00DC5850" w:rsidTr="005F2650">
        <w:trPr>
          <w:trHeight w:val="421"/>
        </w:trPr>
        <w:tc>
          <w:tcPr>
            <w:tcW w:w="3055" w:type="dxa"/>
            <w:vMerge w:val="restart"/>
          </w:tcPr>
          <w:p w:rsidR="006169C4" w:rsidRPr="00DC5850" w:rsidRDefault="006169C4" w:rsidP="005F2650">
            <w:pPr>
              <w:spacing w:before="40" w:after="40"/>
              <w:jc w:val="both"/>
              <w:rPr>
                <w:noProof w:val="0"/>
                <w:sz w:val="24"/>
                <w:szCs w:val="24"/>
                <w:lang w:val="en-US"/>
              </w:rPr>
            </w:pPr>
          </w:p>
        </w:tc>
        <w:tc>
          <w:tcPr>
            <w:tcW w:w="3240" w:type="dxa"/>
            <w:gridSpan w:val="2"/>
          </w:tcPr>
          <w:p w:rsidR="006169C4" w:rsidRPr="00DC5850" w:rsidRDefault="006C1048" w:rsidP="006C1048">
            <w:pPr>
              <w:spacing w:before="40" w:after="40"/>
              <w:jc w:val="center"/>
              <w:rPr>
                <w:noProof w:val="0"/>
                <w:sz w:val="24"/>
                <w:szCs w:val="24"/>
                <w:lang w:val="en-US"/>
              </w:rPr>
            </w:pPr>
            <w:r>
              <w:rPr>
                <w:noProof w:val="0"/>
                <w:sz w:val="24"/>
                <w:szCs w:val="24"/>
                <w:lang w:val="vi-VN"/>
              </w:rPr>
              <w:t>Nguồn vốn từ</w:t>
            </w:r>
            <w:r w:rsidR="006169C4" w:rsidRPr="00DC5850">
              <w:rPr>
                <w:noProof w:val="0"/>
                <w:sz w:val="24"/>
                <w:szCs w:val="24"/>
                <w:lang w:val="en-US"/>
              </w:rPr>
              <w:t xml:space="preserve"> Nhà nước</w:t>
            </w:r>
          </w:p>
        </w:tc>
        <w:tc>
          <w:tcPr>
            <w:tcW w:w="2766" w:type="dxa"/>
            <w:vMerge w:val="restart"/>
          </w:tcPr>
          <w:p w:rsidR="006169C4" w:rsidRPr="006C1048" w:rsidRDefault="006C1048" w:rsidP="006C1048">
            <w:pPr>
              <w:spacing w:before="40" w:after="40"/>
              <w:jc w:val="center"/>
              <w:rPr>
                <w:noProof w:val="0"/>
                <w:sz w:val="24"/>
                <w:szCs w:val="24"/>
                <w:lang w:val="vi-VN"/>
              </w:rPr>
            </w:pPr>
            <w:r>
              <w:rPr>
                <w:noProof w:val="0"/>
                <w:sz w:val="24"/>
                <w:szCs w:val="24"/>
                <w:lang w:val="vi-VN"/>
              </w:rPr>
              <w:t>Chính phủ b</w:t>
            </w:r>
            <w:r w:rsidR="006169C4" w:rsidRPr="00DC5850">
              <w:rPr>
                <w:noProof w:val="0"/>
                <w:sz w:val="24"/>
                <w:szCs w:val="24"/>
                <w:lang w:val="en-US"/>
              </w:rPr>
              <w:t xml:space="preserve">ảo lãnh </w:t>
            </w:r>
            <w:r>
              <w:rPr>
                <w:noProof w:val="0"/>
                <w:sz w:val="24"/>
                <w:szCs w:val="24"/>
                <w:lang w:val="vi-VN"/>
              </w:rPr>
              <w:t>phát hành</w:t>
            </w:r>
            <w:r w:rsidR="006169C4" w:rsidRPr="00DC5850">
              <w:rPr>
                <w:noProof w:val="0"/>
                <w:sz w:val="24"/>
                <w:szCs w:val="24"/>
                <w:lang w:val="en-US"/>
              </w:rPr>
              <w:t xml:space="preserve"> trái phiếu </w:t>
            </w:r>
            <w:r>
              <w:rPr>
                <w:noProof w:val="0"/>
                <w:sz w:val="24"/>
                <w:szCs w:val="24"/>
                <w:lang w:val="vi-VN"/>
              </w:rPr>
              <w:t>để huy động vốn phát triển nhà ở</w:t>
            </w:r>
          </w:p>
        </w:tc>
      </w:tr>
      <w:tr w:rsidR="006169C4" w:rsidRPr="00DC5850" w:rsidTr="005F2650">
        <w:tc>
          <w:tcPr>
            <w:tcW w:w="3055" w:type="dxa"/>
            <w:vMerge/>
          </w:tcPr>
          <w:p w:rsidR="006169C4" w:rsidRPr="00DC5850" w:rsidRDefault="006169C4" w:rsidP="005F2650">
            <w:pPr>
              <w:spacing w:before="40" w:after="40"/>
              <w:jc w:val="both"/>
              <w:rPr>
                <w:noProof w:val="0"/>
                <w:sz w:val="24"/>
                <w:szCs w:val="24"/>
                <w:lang w:val="en-US"/>
              </w:rPr>
            </w:pPr>
          </w:p>
        </w:tc>
        <w:tc>
          <w:tcPr>
            <w:tcW w:w="147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Chính phủ</w:t>
            </w:r>
          </w:p>
        </w:tc>
        <w:tc>
          <w:tcPr>
            <w:tcW w:w="1765" w:type="dxa"/>
            <w:vAlign w:val="center"/>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Ngân hàng trung ương</w:t>
            </w:r>
          </w:p>
        </w:tc>
        <w:tc>
          <w:tcPr>
            <w:tcW w:w="2766" w:type="dxa"/>
            <w:vMerge/>
          </w:tcPr>
          <w:p w:rsidR="006169C4" w:rsidRPr="00DC5850" w:rsidRDefault="006169C4" w:rsidP="005F2650">
            <w:pPr>
              <w:spacing w:before="40" w:after="40"/>
              <w:jc w:val="both"/>
              <w:rPr>
                <w:noProof w:val="0"/>
                <w:sz w:val="24"/>
                <w:szCs w:val="24"/>
                <w:lang w:val="en-US"/>
              </w:rPr>
            </w:pP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Cơ quan tài chính nhà ở Nhật Bản (JHF)</w:t>
            </w:r>
          </w:p>
        </w:tc>
        <w:tc>
          <w:tcPr>
            <w:tcW w:w="147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100%</w:t>
            </w:r>
          </w:p>
        </w:tc>
        <w:tc>
          <w:tcPr>
            <w:tcW w:w="176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Không</w:t>
            </w: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Công ty tài chính nhà ở Hàn Quốc (HF)</w:t>
            </w:r>
          </w:p>
        </w:tc>
        <w:tc>
          <w:tcPr>
            <w:tcW w:w="1475" w:type="dxa"/>
          </w:tcPr>
          <w:p w:rsidR="006169C4" w:rsidRPr="00DC5850" w:rsidRDefault="006169C4" w:rsidP="005F2650">
            <w:pPr>
              <w:spacing w:before="40" w:after="40"/>
              <w:jc w:val="center"/>
              <w:rPr>
                <w:noProof w:val="0"/>
                <w:sz w:val="24"/>
                <w:szCs w:val="24"/>
                <w:lang w:val="en-US"/>
              </w:rPr>
            </w:pPr>
            <w:r>
              <w:rPr>
                <w:noProof w:val="0"/>
                <w:sz w:val="24"/>
                <w:szCs w:val="24"/>
                <w:lang w:val="en-US"/>
              </w:rPr>
              <w:t>62,8</w:t>
            </w:r>
            <w:r w:rsidRPr="00DC5850">
              <w:rPr>
                <w:noProof w:val="0"/>
                <w:sz w:val="24"/>
                <w:szCs w:val="24"/>
                <w:lang w:val="en-US"/>
              </w:rPr>
              <w:t>%</w:t>
            </w:r>
            <w:r>
              <w:rPr>
                <w:rStyle w:val="FootnoteReference"/>
                <w:rFonts w:eastAsiaTheme="majorEastAsia"/>
                <w:noProof w:val="0"/>
                <w:sz w:val="24"/>
                <w:szCs w:val="24"/>
                <w:lang w:val="en-US"/>
              </w:rPr>
              <w:footnoteReference w:id="13"/>
            </w:r>
          </w:p>
        </w:tc>
        <w:tc>
          <w:tcPr>
            <w:tcW w:w="1765" w:type="dxa"/>
          </w:tcPr>
          <w:p w:rsidR="006169C4" w:rsidRPr="00DC5850" w:rsidRDefault="006169C4" w:rsidP="005F2650">
            <w:pPr>
              <w:spacing w:before="40" w:after="40"/>
              <w:jc w:val="center"/>
              <w:rPr>
                <w:noProof w:val="0"/>
                <w:sz w:val="24"/>
                <w:szCs w:val="24"/>
                <w:lang w:val="en-US"/>
              </w:rPr>
            </w:pPr>
            <w:r>
              <w:rPr>
                <w:noProof w:val="0"/>
                <w:sz w:val="24"/>
                <w:szCs w:val="24"/>
                <w:lang w:val="en-US"/>
              </w:rPr>
              <w:t>32,7</w:t>
            </w:r>
            <w:r w:rsidRPr="00DC5850">
              <w:rPr>
                <w:noProof w:val="0"/>
                <w:sz w:val="24"/>
                <w:szCs w:val="24"/>
                <w:lang w:val="en-US"/>
              </w:rPr>
              <w:t>%</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Có</w:t>
            </w: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Ngân hàng phát triển nhà ở Singapore (HDB)</w:t>
            </w:r>
          </w:p>
        </w:tc>
        <w:tc>
          <w:tcPr>
            <w:tcW w:w="147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100%</w:t>
            </w:r>
          </w:p>
        </w:tc>
        <w:tc>
          <w:tcPr>
            <w:tcW w:w="176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Có</w:t>
            </w: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Công ty thế chấp bất động sản Hồng Kông (HKMC)</w:t>
            </w:r>
          </w:p>
        </w:tc>
        <w:tc>
          <w:tcPr>
            <w:tcW w:w="147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100%</w:t>
            </w:r>
          </w:p>
        </w:tc>
        <w:tc>
          <w:tcPr>
            <w:tcW w:w="176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Không</w:t>
            </w: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Công ty phát triển nhà ở Malaysia (CB)</w:t>
            </w:r>
          </w:p>
        </w:tc>
        <w:tc>
          <w:tcPr>
            <w:tcW w:w="147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w:t>
            </w:r>
          </w:p>
        </w:tc>
        <w:tc>
          <w:tcPr>
            <w:tcW w:w="176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20%</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Không</w:t>
            </w: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Ngân hàng nhà ở Chính phủ Thái Lan (GHB)</w:t>
            </w:r>
          </w:p>
        </w:tc>
        <w:tc>
          <w:tcPr>
            <w:tcW w:w="147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100%</w:t>
            </w:r>
          </w:p>
        </w:tc>
        <w:tc>
          <w:tcPr>
            <w:tcW w:w="176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Có</w:t>
            </w:r>
          </w:p>
        </w:tc>
      </w:tr>
      <w:tr w:rsidR="006169C4" w:rsidRPr="00DC5850" w:rsidTr="005F2650">
        <w:tc>
          <w:tcPr>
            <w:tcW w:w="3055" w:type="dxa"/>
          </w:tcPr>
          <w:p w:rsidR="006169C4" w:rsidRPr="00DC5850" w:rsidRDefault="006169C4" w:rsidP="005F2650">
            <w:pPr>
              <w:spacing w:before="40" w:after="40"/>
              <w:jc w:val="both"/>
              <w:rPr>
                <w:noProof w:val="0"/>
                <w:sz w:val="24"/>
                <w:szCs w:val="24"/>
                <w:lang w:val="en-US"/>
              </w:rPr>
            </w:pPr>
            <w:r w:rsidRPr="00DC5850">
              <w:rPr>
                <w:noProof w:val="0"/>
                <w:sz w:val="24"/>
                <w:szCs w:val="24"/>
                <w:lang w:val="en-US"/>
              </w:rPr>
              <w:t>Công ty tài chính nhà ở quốc gia Philippines (NHMFC)</w:t>
            </w:r>
          </w:p>
        </w:tc>
        <w:tc>
          <w:tcPr>
            <w:tcW w:w="147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100%</w:t>
            </w:r>
          </w:p>
        </w:tc>
        <w:tc>
          <w:tcPr>
            <w:tcW w:w="1765"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w:t>
            </w:r>
          </w:p>
        </w:tc>
        <w:tc>
          <w:tcPr>
            <w:tcW w:w="2766" w:type="dxa"/>
          </w:tcPr>
          <w:p w:rsidR="006169C4" w:rsidRPr="00DC5850" w:rsidRDefault="006169C4" w:rsidP="005F2650">
            <w:pPr>
              <w:spacing w:before="40" w:after="40"/>
              <w:jc w:val="center"/>
              <w:rPr>
                <w:noProof w:val="0"/>
                <w:sz w:val="24"/>
                <w:szCs w:val="24"/>
                <w:lang w:val="en-US"/>
              </w:rPr>
            </w:pPr>
            <w:r w:rsidRPr="00DC5850">
              <w:rPr>
                <w:noProof w:val="0"/>
                <w:sz w:val="24"/>
                <w:szCs w:val="24"/>
                <w:lang w:val="en-US"/>
              </w:rPr>
              <w:t>Có</w:t>
            </w:r>
          </w:p>
        </w:tc>
      </w:tr>
    </w:tbl>
    <w:p w:rsidR="006169C4" w:rsidRPr="00DC5850" w:rsidRDefault="006169C4" w:rsidP="0086270C">
      <w:pPr>
        <w:spacing w:before="120" w:after="120" w:line="360" w:lineRule="exact"/>
        <w:ind w:firstLine="709"/>
        <w:jc w:val="both"/>
        <w:rPr>
          <w:i/>
          <w:noProof w:val="0"/>
          <w:lang w:val="vi-VN"/>
        </w:rPr>
      </w:pPr>
      <w:r>
        <w:rPr>
          <w:i/>
          <w:noProof w:val="0"/>
          <w:lang w:val="en-US"/>
        </w:rPr>
        <w:t>c</w:t>
      </w:r>
      <w:r w:rsidRPr="00DC5850">
        <w:rPr>
          <w:i/>
          <w:noProof w:val="0"/>
          <w:lang w:val="vi-VN"/>
        </w:rPr>
        <w:t>) Thành lập tổ chức có chức năng nhận tiền gửi tiết kiệm và cho vay về nhà ở đối với khách hàng đã gửi tiền</w:t>
      </w:r>
    </w:p>
    <w:p w:rsidR="006169C4" w:rsidRPr="00DC5850" w:rsidRDefault="006169C4" w:rsidP="0086270C">
      <w:pPr>
        <w:spacing w:before="120" w:after="120" w:line="360" w:lineRule="exact"/>
        <w:ind w:firstLine="709"/>
        <w:jc w:val="both"/>
        <w:rPr>
          <w:rFonts w:eastAsia="Calibri"/>
          <w:lang w:val="vi-VN"/>
        </w:rPr>
      </w:pPr>
      <w:r w:rsidRPr="00DC5850">
        <w:rPr>
          <w:noProof w:val="0"/>
          <w:lang w:val="vi-VN"/>
        </w:rPr>
        <w:t xml:space="preserve">- </w:t>
      </w:r>
      <w:r>
        <w:rPr>
          <w:noProof w:val="0"/>
          <w:lang w:val="en-US"/>
        </w:rPr>
        <w:t>M</w:t>
      </w:r>
      <w:r w:rsidRPr="00DC5850">
        <w:rPr>
          <w:noProof w:val="0"/>
          <w:lang w:val="vi-VN"/>
        </w:rPr>
        <w:t xml:space="preserve">ô hình ngân hàng tiết kiệm nhà ở của Đức: </w:t>
      </w:r>
      <w:r w:rsidR="00E118BE">
        <w:rPr>
          <w:noProof w:val="0"/>
          <w:lang w:val="vi-VN"/>
        </w:rPr>
        <w:t xml:space="preserve">Thiết lập </w:t>
      </w:r>
      <w:r w:rsidRPr="00DC5850">
        <w:rPr>
          <w:rFonts w:eastAsia="Calibri"/>
          <w:lang w:val="en-US"/>
        </w:rPr>
        <w:t>N</w:t>
      </w:r>
      <w:r w:rsidRPr="00DC5850">
        <w:rPr>
          <w:rFonts w:eastAsia="Calibri"/>
          <w:lang w:val="vi-VN"/>
        </w:rPr>
        <w:t xml:space="preserve">gân hàng tiết kiệm nhà ở nhận tiền gửi tiết kiệm và cho vay về nhà ở đối với khách hàng đã gửi tiền. Theo mô hình này, nguồn vốn huy động là từ đóng góp của người lao động thông qua Hợp đồng tiết kiệm. Khách hàng có nhu cầu nhà ở trong tương lai thỏa thuận với Ngân hàng về mức tiền tiết kiệm và thực hiện tiết kiệm hàng tháng với lãi suất cố định. Khi đã tiết kiệm được tối thiểu 50% giá trị nhà ở cần mua, khách hàng được vay 50% còn lại với lãi suất thấp, cố định đã thỏa thuận khi ký Hợp đồng tiết kiệm. </w:t>
      </w:r>
      <w:r w:rsidRPr="00DC5850">
        <w:rPr>
          <w:noProof w:val="0"/>
          <w:lang w:val="vi-VN"/>
        </w:rPr>
        <w:t xml:space="preserve">Bên cạnh đó, mô hình này được triển khai trong thời gian dài bao gồm giai đoạn gửi tiền tiết kiệm và giai đoạn hoàn trả vốn vay với lãi suất cố định; theo đó, hiệu quả của mô hình còn phụ thuộc vào sự ổn định của kinh tế vĩ mô và biến động của thị trường bất động sản. </w:t>
      </w:r>
    </w:p>
    <w:p w:rsidR="006169C4" w:rsidRPr="00DC5850" w:rsidRDefault="006169C4" w:rsidP="0086270C">
      <w:pPr>
        <w:spacing w:before="120" w:after="120" w:line="360" w:lineRule="exact"/>
        <w:ind w:firstLine="709"/>
        <w:jc w:val="both"/>
        <w:rPr>
          <w:noProof w:val="0"/>
          <w:lang w:val="vi-VN"/>
        </w:rPr>
      </w:pPr>
      <w:r w:rsidRPr="00DC5850">
        <w:rPr>
          <w:noProof w:val="0"/>
          <w:lang w:val="vi-VN"/>
        </w:rPr>
        <w:t xml:space="preserve">- </w:t>
      </w:r>
      <w:r>
        <w:rPr>
          <w:noProof w:val="0"/>
          <w:lang w:val="en-US"/>
        </w:rPr>
        <w:t>C</w:t>
      </w:r>
      <w:r w:rsidRPr="00DC5850">
        <w:rPr>
          <w:noProof w:val="0"/>
          <w:lang w:val="vi-VN"/>
        </w:rPr>
        <w:t xml:space="preserve">hương trình tiết kiệm nhà ở của Indonesia: </w:t>
      </w:r>
      <w:r w:rsidRPr="00DC5850">
        <w:rPr>
          <w:noProof w:val="0"/>
          <w:lang w:val="en-US"/>
        </w:rPr>
        <w:t>Đ</w:t>
      </w:r>
      <w:r w:rsidRPr="00DC5850">
        <w:rPr>
          <w:noProof w:val="0"/>
          <w:lang w:val="vi-VN"/>
        </w:rPr>
        <w:t>ể đáp ứng nhu cầu nhà ở, Chính phủ Indonesia đã ban hành chính sách về tiết kiệm nhà ở hướng tới các cá nhân có thu nhập thấp thông qua quy định bắt buộc việc đóng góp tiền tiết kiệm của người lao động và chủ lao động cho việc mua nhà. Theo đó, đối tượng tham gia chương trình phải đóng góp mức tiền tiết kiệm tương đương 3% mức lương hàng tháng vào quỹ (chủ lao động 0,5% và người lao động 2,5%; trường hợp lao động tự do thì cá nhân đóng góp 3% thu nhập). Điều kiện tham gia là người lao động có mức lương hàng tháng trên mức lương tối thiểu; độ tuổi trên 18 hoặc đã có gia đình. Cá nhân tham gia trực tiếp hoặc thông qua chủ lao động được cấp mã số thành viên tham gia chương trình.</w:t>
      </w:r>
    </w:p>
    <w:p w:rsidR="00E118BE" w:rsidRDefault="006169C4" w:rsidP="00E118BE">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noProof w:val="0"/>
          <w:lang w:val="vi-VN"/>
        </w:rPr>
      </w:pPr>
      <w:r>
        <w:rPr>
          <w:noProof w:val="0"/>
          <w:lang w:val="en-US"/>
        </w:rPr>
        <w:t xml:space="preserve">Như vậy, </w:t>
      </w:r>
      <w:r w:rsidRPr="00DC5850">
        <w:rPr>
          <w:noProof w:val="0"/>
          <w:lang w:val="vi-VN"/>
        </w:rPr>
        <w:t xml:space="preserve">đặc điểm chung </w:t>
      </w:r>
      <w:r w:rsidRPr="00701C1B">
        <w:rPr>
          <w:noProof w:val="0"/>
          <w:lang w:val="vi-VN"/>
        </w:rPr>
        <w:t>của các định chế tài chính</w:t>
      </w:r>
      <w:r w:rsidR="00E118BE" w:rsidRPr="00701C1B">
        <w:rPr>
          <w:noProof w:val="0"/>
          <w:lang w:val="vi-VN"/>
        </w:rPr>
        <w:t xml:space="preserve"> có chức năng cho vay, đầu tư phát triển</w:t>
      </w:r>
      <w:r w:rsidRPr="00701C1B">
        <w:rPr>
          <w:noProof w:val="0"/>
          <w:lang w:val="vi-VN"/>
        </w:rPr>
        <w:t xml:space="preserve"> nhà ở</w:t>
      </w:r>
      <w:r w:rsidR="00E118BE" w:rsidRPr="00701C1B">
        <w:rPr>
          <w:noProof w:val="0"/>
          <w:lang w:val="vi-VN"/>
        </w:rPr>
        <w:t xml:space="preserve"> </w:t>
      </w:r>
      <w:r w:rsidR="00701C1B">
        <w:rPr>
          <w:noProof w:val="0"/>
          <w:lang w:val="en-US"/>
        </w:rPr>
        <w:t>trên</w:t>
      </w:r>
      <w:r w:rsidRPr="00DC5850">
        <w:rPr>
          <w:noProof w:val="0"/>
          <w:lang w:val="vi-VN"/>
        </w:rPr>
        <w:t xml:space="preserve"> là: </w:t>
      </w:r>
      <w:r w:rsidR="00E118BE" w:rsidRPr="00DC5850">
        <w:rPr>
          <w:noProof w:val="0"/>
          <w:lang w:val="vi-VN"/>
        </w:rPr>
        <w:t xml:space="preserve">(i) có sự hỗ trợ của </w:t>
      </w:r>
      <w:r w:rsidR="00E118BE" w:rsidRPr="00DC5850">
        <w:rPr>
          <w:noProof w:val="0"/>
          <w:lang w:val="en-US"/>
        </w:rPr>
        <w:t>N</w:t>
      </w:r>
      <w:r w:rsidR="00E118BE" w:rsidRPr="00DC5850">
        <w:rPr>
          <w:noProof w:val="0"/>
          <w:lang w:val="vi-VN"/>
        </w:rPr>
        <w:t>hà nước thông qua cấp vốn hoạt động hoặc cấp bảo lãnh của Chính phủ</w:t>
      </w:r>
      <w:r w:rsidR="00E118BE">
        <w:rPr>
          <w:noProof w:val="0"/>
          <w:lang w:val="en-US"/>
        </w:rPr>
        <w:t xml:space="preserve"> để huy động vốn (chủ yếu thông qua phát hành trái phiếu)</w:t>
      </w:r>
      <w:r w:rsidR="00E118BE">
        <w:rPr>
          <w:noProof w:val="0"/>
          <w:lang w:val="vi-VN"/>
        </w:rPr>
        <w:t xml:space="preserve"> (ii) các định chế tài chính này có nguồn lực ổn định để duy trì hoạt động (iii)</w:t>
      </w:r>
      <w:r w:rsidRPr="00DC5850">
        <w:rPr>
          <w:noProof w:val="0"/>
          <w:lang w:val="vi-VN"/>
        </w:rPr>
        <w:t xml:space="preserve"> người tham gia</w:t>
      </w:r>
      <w:r w:rsidR="00E118BE">
        <w:rPr>
          <w:noProof w:val="0"/>
          <w:lang w:val="vi-VN"/>
        </w:rPr>
        <w:t xml:space="preserve"> vào các chương trình nhà ở</w:t>
      </w:r>
      <w:r w:rsidRPr="00DC5850">
        <w:rPr>
          <w:noProof w:val="0"/>
          <w:lang w:val="vi-VN"/>
        </w:rPr>
        <w:t xml:space="preserve"> được hưởng các ưu đãi về lãi suất</w:t>
      </w:r>
      <w:r w:rsidR="00E118BE">
        <w:rPr>
          <w:noProof w:val="0"/>
          <w:lang w:val="vi-VN"/>
        </w:rPr>
        <w:t xml:space="preserve"> vay vốn</w:t>
      </w:r>
      <w:r w:rsidRPr="00DC5850">
        <w:rPr>
          <w:noProof w:val="0"/>
          <w:lang w:val="vi-VN"/>
        </w:rPr>
        <w:t xml:space="preserve"> trên cơ sở đáp ứng điều kiện về thời gian tham gia và đóng góp</w:t>
      </w:r>
      <w:r w:rsidR="00701C1B">
        <w:rPr>
          <w:noProof w:val="0"/>
          <w:lang w:val="en-US"/>
        </w:rPr>
        <w:t xml:space="preserve">. </w:t>
      </w:r>
    </w:p>
    <w:p w:rsidR="006169C4" w:rsidRPr="006169C4" w:rsidRDefault="006169C4" w:rsidP="00E118BE">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lang w:val="fr-FR"/>
        </w:rPr>
      </w:pPr>
      <w:r w:rsidRPr="006169C4">
        <w:rPr>
          <w:b/>
          <w:bCs/>
          <w:lang w:val="fr-FR"/>
        </w:rPr>
        <w:t>4. Bài học kinh nghiệm</w:t>
      </w:r>
    </w:p>
    <w:p w:rsidR="006169C4"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fr-FR"/>
        </w:rPr>
        <w:t xml:space="preserve">- </w:t>
      </w:r>
      <w:r w:rsidR="00E118BE">
        <w:rPr>
          <w:lang w:val="vi-VN"/>
        </w:rPr>
        <w:t>Qua nghiên cứu kinh nghiệm quốc tế có thể thấy ở Việt Nam, p</w:t>
      </w:r>
      <w:r w:rsidRPr="006169C4">
        <w:rPr>
          <w:lang w:val="fr-FR"/>
        </w:rPr>
        <w:t>háp luật hiện hành đã quy định đầy đủ về các định chế tài chính triển khai chính sách về phát triển nhà ở xã hội bao gồm (i) các ngân hàng chính sách, (ii) các NHTM, (iii) quỹ đầu tư phát triển địa phương và một số quỹ tài chính nhà nước ngoài ngân sách tại địa phương. Tuy nhiên, kết quả triển khai thời gian qua cho thấy quy mô cho vay còn chưa đáp ứng nhu cầu thực tế do nguồn vốn Nhà nước hỗ trợ chưa bố trí đủ, kịp thời và công tác tổ chức thực hiện còn nhiều vướng mắc</w:t>
      </w:r>
      <w:r w:rsidR="00E118BE">
        <w:rPr>
          <w:lang w:val="vi-VN"/>
        </w:rPr>
        <w:t>, đâylà hai vướng mắc chính ảnh hưởng đến hiệu quả hoạt động của các chương trình phát triển nhà ở xã hội</w:t>
      </w:r>
      <w:r w:rsidRPr="006169C4">
        <w:rPr>
          <w:lang w:val="fr-FR"/>
        </w:rPr>
        <w:t>.</w:t>
      </w:r>
    </w:p>
    <w:p w:rsidR="006169C4"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fr-FR"/>
        </w:rPr>
        <w:t xml:space="preserve">- </w:t>
      </w:r>
      <w:r w:rsidRPr="00A83EC4">
        <w:rPr>
          <w:bCs/>
          <w:lang w:val="fr-FR"/>
        </w:rPr>
        <w:t xml:space="preserve">Đối với việc thành lập Quỹ phát triển nhà ở xã hội, như đã báo cáo nêu trên, hiện tại chỉ còn một số quỹ đang hoạt động, tuy nhiên hiệu quả hoạt động rất hạn chế. </w:t>
      </w:r>
      <w:r w:rsidRPr="00A83EC4">
        <w:t>Việc thành lập mới Quỹ phát triển nhà ở xã hội độc lập khi</w:t>
      </w:r>
      <w:r w:rsidR="00E118BE">
        <w:rPr>
          <w:lang w:val="vi-VN"/>
        </w:rPr>
        <w:t xml:space="preserve"> không có căn cứ pháp lý tại Luật nhà ở năm 2023 và không</w:t>
      </w:r>
      <w:r w:rsidRPr="00A83EC4">
        <w:t xml:space="preserve"> xác định rõ nguồn lực </w:t>
      </w:r>
      <w:r w:rsidR="00E118BE">
        <w:rPr>
          <w:lang w:val="vi-VN"/>
        </w:rPr>
        <w:t>là</w:t>
      </w:r>
      <w:r w:rsidRPr="00A83EC4">
        <w:t xml:space="preserve"> chưa phù hợp với quy định của </w:t>
      </w:r>
      <w:r w:rsidRPr="00A83EC4">
        <w:rPr>
          <w:lang w:val="en-US"/>
        </w:rPr>
        <w:t>Luật Ngân sách nhà nước</w:t>
      </w:r>
      <w:r>
        <w:rPr>
          <w:lang w:val="en-US"/>
        </w:rPr>
        <w:t>.</w:t>
      </w:r>
    </w:p>
    <w:p w:rsidR="006169C4"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fr-FR"/>
        </w:rPr>
      </w:pPr>
      <w:r>
        <w:rPr>
          <w:lang w:val="fr-FR"/>
        </w:rPr>
        <w:t xml:space="preserve">- Kinh nghiệm triển khai tại các nước cho thấy, </w:t>
      </w:r>
      <w:r w:rsidR="004939A9">
        <w:rPr>
          <w:lang w:val="fr-FR"/>
        </w:rPr>
        <w:t>k</w:t>
      </w:r>
      <w:r w:rsidR="004939A9" w:rsidRPr="00544F62">
        <w:rPr>
          <w:bCs/>
          <w:lang w:val="fr-FR"/>
        </w:rPr>
        <w:t>hi thành lập một định chế triển khai các chính sách về phát triển nhà ở và nhà ở xã hội, các định chế này thường có</w:t>
      </w:r>
      <w:r w:rsidR="004939A9">
        <w:rPr>
          <w:bCs/>
          <w:lang w:val="fr-FR"/>
        </w:rPr>
        <w:t xml:space="preserve"> nguồn vốn đủ lớn, được duy trì ổn định với sự tham gia của </w:t>
      </w:r>
      <w:r w:rsidR="004939A9" w:rsidRPr="00544F62">
        <w:rPr>
          <w:bCs/>
          <w:lang w:val="fr-FR"/>
        </w:rPr>
        <w:t>Nhà nước</w:t>
      </w:r>
      <w:r w:rsidR="004939A9">
        <w:rPr>
          <w:rStyle w:val="FootnoteReference"/>
          <w:rFonts w:eastAsiaTheme="majorEastAsia"/>
          <w:bCs/>
          <w:lang w:val="fr-FR"/>
        </w:rPr>
        <w:footnoteReference w:id="14"/>
      </w:r>
      <w:r w:rsidR="004939A9" w:rsidRPr="00544F62">
        <w:rPr>
          <w:bCs/>
          <w:lang w:val="fr-FR"/>
        </w:rPr>
        <w:t>, được Chính phủ hỗ trợ thông qua cấp bảo lãnh Chính phủ khi huy động vốn (phát hành trái phiếu được Chính phủ bảo lãnh)</w:t>
      </w:r>
      <w:r w:rsidR="004939A9">
        <w:rPr>
          <w:rStyle w:val="FootnoteReference"/>
          <w:rFonts w:eastAsiaTheme="majorEastAsia"/>
          <w:bCs/>
          <w:lang w:val="fr-FR"/>
        </w:rPr>
        <w:footnoteReference w:id="15"/>
      </w:r>
      <w:r w:rsidR="004939A9" w:rsidRPr="00544F62">
        <w:rPr>
          <w:bCs/>
          <w:lang w:val="fr-FR"/>
        </w:rPr>
        <w:t>. Đồng thời, mô hình hoạt động có thể là quỹ hoặc doanh nghiệp do Nhà nước thành lập, có chức năng cho vay và/hoặc chức năng quản lý, đầu tư, xây dựng nhà ở.</w:t>
      </w:r>
      <w:r w:rsidR="004939A9">
        <w:rPr>
          <w:bCs/>
          <w:lang w:val="fr-FR"/>
        </w:rPr>
        <w:t xml:space="preserve"> </w:t>
      </w:r>
      <w:r w:rsidR="004A542D" w:rsidRPr="004A542D">
        <w:rPr>
          <w:bCs/>
          <w:lang w:val="fr-FR"/>
        </w:rPr>
        <w:t>mô hình định chế này tương tự hoạt động của hai ngân hàng chính sách của Việt Nam hiện nay, được thực hiện chức năng cho vay đầu tư, cho vay cá nhân có nhu cầu mua, thuê mua nhà ở xã hội; nhận tiền gửi tiết kiệm nhà ở xã hội. Tuy nhiên, yêu cầu về hiệu quả quản lý và năng lực tài chính đối với các định chế tài chính ở các nước sẽ cao hơn nhiều so với 2 ngân hàng chính sách của Việt Nam để đáp ứng nhu cầu quản trị rủi ro dài hạn.</w:t>
      </w:r>
    </w:p>
    <w:p w:rsidR="006169C4" w:rsidRPr="00EF1469"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lang w:val="fr-FR"/>
        </w:rPr>
      </w:pPr>
      <w:r w:rsidRPr="00EF1469">
        <w:rPr>
          <w:b/>
          <w:lang w:val="fr-FR"/>
        </w:rPr>
        <w:t xml:space="preserve">5. </w:t>
      </w:r>
      <w:r w:rsidR="00E118BE">
        <w:rPr>
          <w:b/>
          <w:lang w:val="vi-VN"/>
        </w:rPr>
        <w:t>Kiến nghị,</w:t>
      </w:r>
      <w:r w:rsidRPr="00EF1469">
        <w:rPr>
          <w:b/>
          <w:lang w:val="fr-FR"/>
        </w:rPr>
        <w:t xml:space="preserve"> đề xuất</w:t>
      </w:r>
    </w:p>
    <w:p w:rsidR="006169C4" w:rsidRPr="00A83EC4" w:rsidRDefault="006169C4" w:rsidP="0086270C">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A83EC4">
        <w:rPr>
          <w:lang w:val="fr-FR"/>
        </w:rPr>
        <w:t>Xuất phát từ cơ sở chính trị, cơ sở pháp lý và thực trạng phát triển nhà ở xã hội</w:t>
      </w:r>
      <w:r w:rsidR="00E118BE">
        <w:rPr>
          <w:lang w:val="vi-VN"/>
        </w:rPr>
        <w:t xml:space="preserve"> ở nước ta</w:t>
      </w:r>
      <w:r w:rsidRPr="00A83EC4">
        <w:rPr>
          <w:lang w:val="fr-FR"/>
        </w:rPr>
        <w:t xml:space="preserve">, </w:t>
      </w:r>
      <w:r w:rsidR="00E118BE">
        <w:rPr>
          <w:lang w:val="vi-VN"/>
        </w:rPr>
        <w:t>trên cơ sở khảo sát</w:t>
      </w:r>
      <w:r w:rsidRPr="00A83EC4">
        <w:rPr>
          <w:lang w:val="fr-FR"/>
        </w:rPr>
        <w:t xml:space="preserve"> kinh nghiệm</w:t>
      </w:r>
      <w:r w:rsidR="00E118BE">
        <w:rPr>
          <w:lang w:val="vi-VN"/>
        </w:rPr>
        <w:t xml:space="preserve"> quốc tế về</w:t>
      </w:r>
      <w:r w:rsidRPr="00A83EC4">
        <w:rPr>
          <w:lang w:val="fr-FR"/>
        </w:rPr>
        <w:t xml:space="preserve"> triển khai chính sách phát triển nhà ở xã hội tại </w:t>
      </w:r>
      <w:r w:rsidR="00E118BE">
        <w:rPr>
          <w:lang w:val="vi-VN"/>
        </w:rPr>
        <w:t>một số</w:t>
      </w:r>
      <w:r w:rsidRPr="00A83EC4">
        <w:rPr>
          <w:lang w:val="fr-FR"/>
        </w:rPr>
        <w:t xml:space="preserve"> nước, Bộ Tài chính kiến nghị trước mắt tiếp tục bổ sung nguồn lực và cải cách bộ máy, công tác tổ chức thực hiện để triển khai có hiệu quả các chương trình tín dụng chính sách, các gói tín dụng ưu đãi cho phát triển nhà ở xã hội thông qua các định chế tài chính hiện nay, không nhất thiết phải thành lập </w:t>
      </w:r>
      <w:r w:rsidR="00E118BE">
        <w:rPr>
          <w:lang w:val="vi-VN"/>
        </w:rPr>
        <w:t xml:space="preserve">các định chế </w:t>
      </w:r>
      <w:r w:rsidRPr="00A83EC4">
        <w:rPr>
          <w:lang w:val="fr-FR"/>
        </w:rPr>
        <w:t>mới</w:t>
      </w:r>
      <w:r w:rsidR="00E118BE">
        <w:rPr>
          <w:lang w:val="vi-VN"/>
        </w:rPr>
        <w:t xml:space="preserve"> để</w:t>
      </w:r>
      <w:r w:rsidRPr="00A83EC4">
        <w:rPr>
          <w:lang w:val="fr-FR"/>
        </w:rPr>
        <w:t xml:space="preserve"> phát triển nhà ở xã hội theo nguyên tắc:</w:t>
      </w:r>
    </w:p>
    <w:p w:rsidR="006169C4" w:rsidRPr="00A83EC4" w:rsidRDefault="006169C4" w:rsidP="0086270C">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A83EC4">
        <w:rPr>
          <w:lang w:val="fr-FR"/>
        </w:rPr>
        <w:t>- NHCSXH tập trung nguồn vốn Nhà nước hỗ trợ cho vay ưu đãi nhà ở xã hội theo quy định tại Nghị định số 100/2024/NĐ-CP để cho vay các cá nhân có nhu cầu mua, thuê mua nhà ở xã hội theo lộ trình thực hiện (i) cho vay ưu đãi hỗ trợ nhà ở xã hội và (ii) huy động tiền gửi tiết kiệm của hộ gia đình, cá nhân có nhu cầu mua, thuê mua nhà ở xã hội.</w:t>
      </w:r>
    </w:p>
    <w:p w:rsidR="006169C4" w:rsidRPr="00A83EC4" w:rsidRDefault="006169C4" w:rsidP="0086270C">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A83EC4">
        <w:rPr>
          <w:lang w:val="fr-FR"/>
        </w:rPr>
        <w:t>- Ngân hàng Phát triển Việt Nam thực hiện cho vay chủ đầu tư thực hiện dự án nhà ở xã hội theo quy định về tín dụng chính sách của Nhà nước và Nghị định số 100/2024/NĐ-CP.</w:t>
      </w:r>
    </w:p>
    <w:p w:rsidR="006169C4" w:rsidRDefault="006169C4" w:rsidP="0086270C">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sidRPr="00A83EC4">
        <w:rPr>
          <w:lang w:val="fr-FR"/>
        </w:rPr>
        <w:t>- Các NHTM thực hiện cho vay chủ đầu tư dự án nhà ở xã hội và cá nhân có nhu cầu mua, thuê mua nhà ở xã hội theo quy định tại Nghị định số 100/2024/NĐ-CP và Gói tín dụng ưu đãi 120.000 tỷ đồng.</w:t>
      </w:r>
    </w:p>
    <w:p w:rsidR="00DB521F" w:rsidRDefault="00DB521F" w:rsidP="0086270C">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lang w:val="fr-FR"/>
        </w:rPr>
        <w:t>Nhằm triển khai định hướng phát triển nhà ở xã hội dài hạn, bền vững, Bộ Tài chính đề xuất xác định 02 giai đoạn tổ chức thực hiện như sau :</w:t>
      </w:r>
    </w:p>
    <w:p w:rsidR="00DB521F" w:rsidRPr="00EF1469" w:rsidRDefault="00DB521F" w:rsidP="0086270C">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i/>
          <w:iCs/>
          <w:lang w:val="fr-FR"/>
        </w:rPr>
      </w:pPr>
      <w:r w:rsidRPr="00EF1469">
        <w:rPr>
          <w:b/>
          <w:bCs/>
          <w:i/>
          <w:iCs/>
          <w:lang w:val="fr-FR"/>
        </w:rPr>
        <w:t>5.1. Giai đoạn 2025-2030:</w:t>
      </w:r>
    </w:p>
    <w:p w:rsidR="006169C4" w:rsidRPr="00A83EC4" w:rsidRDefault="00DB521F"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pt-BR"/>
        </w:rPr>
      </w:pPr>
      <w:r w:rsidRPr="006169C4">
        <w:rPr>
          <w:bCs/>
          <w:lang w:val="fr-FR"/>
        </w:rPr>
        <w:t>Theo tổng hợp của NHCSXH trên cơ sở phối hợp với chính quyền địa phương ở cơ sở, các tổ chức chính trị xã hội nhận uỷ thác, tổng nhu cầu vay vốn nhà ở xã hội giai đoạn 2026-2030 qua NHCSXH là khoảng 32.000 tỷ đồng. Để đáp ứng nhu cầu cho phát triển nhà ở xã hội trong thời gian tới, cần thiết tập trung bổ sung nguồn vốn cho hoạt động xây dựng, cải tạo, sửa chữa và mua, thuê mua nhà ở xã hội, đảm bảo an sinh xã hội dài hạn, bền vững.</w:t>
      </w:r>
      <w:r>
        <w:rPr>
          <w:bCs/>
          <w:lang w:val="fr-FR"/>
        </w:rPr>
        <w:t xml:space="preserve"> </w:t>
      </w:r>
      <w:r w:rsidR="006169C4" w:rsidRPr="00A83EC4">
        <w:rPr>
          <w:lang w:val="fr-FR"/>
        </w:rPr>
        <w:t xml:space="preserve">Để triển khai hiệu quả chính sách phát triển nhà ở xã hội, </w:t>
      </w:r>
      <w:r w:rsidR="006169C4" w:rsidRPr="00A83EC4">
        <w:rPr>
          <w:lang w:val="pt-BR"/>
        </w:rPr>
        <w:t>Bộ Tài chính đề xuất triển khai các nhiệm vụ, giải pháp chủ yếu sau:</w:t>
      </w:r>
    </w:p>
    <w:p w:rsid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iCs/>
          <w:lang w:val="en-US"/>
        </w:rPr>
      </w:pPr>
      <w:r w:rsidRPr="00A83EC4">
        <w:rPr>
          <w:b/>
          <w:bCs/>
          <w:i/>
          <w:iCs/>
          <w:lang w:val="en-US"/>
        </w:rPr>
        <w:t>(1) Bộ Xây dựng</w:t>
      </w:r>
      <w:r w:rsidRPr="00A83EC4">
        <w:rPr>
          <w:bCs/>
          <w:iCs/>
          <w:lang w:val="en-US"/>
        </w:rPr>
        <w:t xml:space="preserve">: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bCs/>
          <w:iCs/>
          <w:lang w:val="en-US"/>
        </w:rPr>
        <w:t>-</w:t>
      </w:r>
      <w:r w:rsidR="006169C4" w:rsidRPr="00A83EC4">
        <w:rPr>
          <w:bCs/>
          <w:iCs/>
          <w:lang w:val="en-US"/>
        </w:rPr>
        <w:t xml:space="preserve"> </w:t>
      </w:r>
      <w:r w:rsidR="006169C4" w:rsidRPr="00A83EC4">
        <w:rPr>
          <w:lang w:val="en-US"/>
        </w:rPr>
        <w:t xml:space="preserve">Đánh giá nhu cầu vốn cho phát triển nhà ở xã hội và khả năng bố trí nguồn vốn hỗ trợ của ngân sách nhà nước;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b/>
          <w:i/>
          <w:lang w:val="en-US"/>
        </w:rPr>
        <w:t>-</w:t>
      </w:r>
      <w:r w:rsidR="006169C4" w:rsidRPr="00A83EC4">
        <w:rPr>
          <w:lang w:val="en-US"/>
        </w:rPr>
        <w:t xml:space="preserve"> Tuyên truyền, phổ biến pháp luật, trong đó có Luật nhà ở 2023, Nghị định số 100/2024/NĐ-CP để các địa phương, doanh nghiệp, người dân cùng biết, cùng hiểu, cùng triển khai, thực hiện; </w:t>
      </w:r>
    </w:p>
    <w:p w:rsidR="006169C4" w:rsidRPr="00A83EC4"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w:t>
      </w:r>
      <w:r w:rsidR="006169C4" w:rsidRPr="00A83EC4">
        <w:rPr>
          <w:lang w:val="en-US"/>
        </w:rPr>
        <w:t xml:space="preserve"> Chủ trì, phối hợp với các Bộ, ngành, địa phương tiếp tục tháo gỡ các khó khăn, vướng mắc, tăng trưởng nguồn cung nhà ở xã hội đảm bảo mục tiêu của Đề án “Đầu tư xây dựng ít nhất 01 triệu căn nhà ở xã hội cho đối tượng thu nhập thấp, công nhân khu công nghiệp giai đoạn 2021-2030”.</w:t>
      </w:r>
    </w:p>
    <w:p w:rsid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iCs/>
          <w:lang w:val="en-US"/>
        </w:rPr>
      </w:pPr>
      <w:r w:rsidRPr="00A83EC4">
        <w:rPr>
          <w:b/>
          <w:bCs/>
          <w:i/>
          <w:iCs/>
          <w:lang w:val="en-US"/>
        </w:rPr>
        <w:t>(2) Bộ Tài chính và Bộ Kế hoạch và Đầu tư</w:t>
      </w:r>
      <w:r w:rsidRPr="00A83EC4">
        <w:rPr>
          <w:bCs/>
          <w:iCs/>
          <w:lang w:val="en-US"/>
        </w:rPr>
        <w:t xml:space="preserve">: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bCs/>
          <w:iCs/>
          <w:lang w:val="en-US"/>
        </w:rPr>
        <w:t>-</w:t>
      </w:r>
      <w:r w:rsidR="006169C4" w:rsidRPr="00A83EC4">
        <w:rPr>
          <w:bCs/>
          <w:iCs/>
          <w:lang w:val="en-US"/>
        </w:rPr>
        <w:t xml:space="preserve"> </w:t>
      </w:r>
      <w:r w:rsidR="006169C4" w:rsidRPr="00A83EC4">
        <w:rPr>
          <w:lang w:val="en-US"/>
        </w:rPr>
        <w:t xml:space="preserve">Lập kế hoạch đầu tư công, kế hoạch ngân sách 5 năm và hàng năm để đảm bảo bố trí vốn cho NHCSXH thực hiện chính sách nhà ở xã hội theo quy định; </w:t>
      </w:r>
    </w:p>
    <w:p w:rsidR="006169C4" w:rsidRPr="00A83EC4"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w:t>
      </w:r>
      <w:r w:rsidR="006169C4" w:rsidRPr="00A83EC4">
        <w:rPr>
          <w:lang w:val="en-US"/>
        </w:rPr>
        <w:t xml:space="preserve"> </w:t>
      </w:r>
      <w:r w:rsidR="006169C4" w:rsidRPr="00A83EC4">
        <w:rPr>
          <w:bCs/>
          <w:iCs/>
          <w:lang w:val="en-US"/>
        </w:rPr>
        <w:t>Rà soát, báo cáo cấp có thẩm quyền về</w:t>
      </w:r>
      <w:r w:rsidR="006169C4" w:rsidRPr="00A83EC4">
        <w:rPr>
          <w:lang w:val="en-US"/>
        </w:rPr>
        <w:t xml:space="preserve"> kế hoạch phát hành trái phiếu được Chính phủ bảo lãnh của NHCSXH, Ngân hàng Phát triển Việt Nam để triển khai các nhiệm vụ cho vay thực hiện chính sách về nhà ở xã hội. </w:t>
      </w:r>
    </w:p>
    <w:p w:rsidR="006169C4" w:rsidRPr="00A83EC4"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iCs/>
          <w:lang w:val="en-US"/>
        </w:rPr>
      </w:pPr>
      <w:r w:rsidRPr="00A83EC4">
        <w:rPr>
          <w:b/>
          <w:bCs/>
          <w:i/>
          <w:iCs/>
          <w:lang w:val="en-US"/>
        </w:rPr>
        <w:t>(3) Ngân hàng Nhà nước Việt Nam</w:t>
      </w:r>
      <w:r w:rsidRPr="00A83EC4">
        <w:rPr>
          <w:bCs/>
          <w:iCs/>
          <w:lang w:val="en-US"/>
        </w:rPr>
        <w:t xml:space="preserve">: </w:t>
      </w:r>
      <w:r w:rsidRPr="00713FDC">
        <w:rPr>
          <w:color w:val="000000"/>
          <w:spacing w:val="-2"/>
        </w:rPr>
        <w:t xml:space="preserve">Tiếp tục chỉ đạo các TCTD tích cực triển khai </w:t>
      </w:r>
      <w:r w:rsidRPr="00713FDC">
        <w:rPr>
          <w:iCs/>
          <w:lang w:val="fr-FR"/>
        </w:rPr>
        <w:t>Chương trình cho vay nhà ở xã hội, nhà ở công nhân theo Nghị quyết số 33/NQ-CP</w:t>
      </w:r>
      <w:r w:rsidRPr="00A83EC4">
        <w:rPr>
          <w:bCs/>
          <w:iCs/>
          <w:lang w:val="en-US"/>
        </w:rPr>
        <w:t>.</w:t>
      </w:r>
    </w:p>
    <w:p w:rsid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iCs/>
          <w:lang w:val="en-US"/>
        </w:rPr>
      </w:pPr>
      <w:r w:rsidRPr="00A83EC4">
        <w:rPr>
          <w:b/>
          <w:bCs/>
          <w:i/>
          <w:iCs/>
          <w:lang w:val="en-US"/>
        </w:rPr>
        <w:t>(4) Ngân hàng Chính sách Xã hội và Ngân hàng Phát triển Việt Nam:</w:t>
      </w:r>
      <w:r w:rsidRPr="00A83EC4">
        <w:rPr>
          <w:bCs/>
          <w:iCs/>
          <w:lang w:val="en-US"/>
        </w:rPr>
        <w:t xml:space="preserve">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bCs/>
          <w:iCs/>
          <w:lang w:val="en-US"/>
        </w:rPr>
        <w:t>-</w:t>
      </w:r>
      <w:r w:rsidR="006169C4" w:rsidRPr="00A83EC4">
        <w:rPr>
          <w:bCs/>
          <w:iCs/>
          <w:lang w:val="en-US"/>
        </w:rPr>
        <w:t xml:space="preserve"> Tập trung triển khai </w:t>
      </w:r>
      <w:r w:rsidR="006169C4" w:rsidRPr="00A83EC4">
        <w:rPr>
          <w:lang w:val="en-US"/>
        </w:rPr>
        <w:t xml:space="preserve">cho vay các chương trình tín dụng chính sách về phát triển nhà ở xã hội; </w:t>
      </w:r>
    </w:p>
    <w:p w:rsidR="006169C4" w:rsidRPr="00A83EC4"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w:t>
      </w:r>
      <w:r w:rsidR="006169C4" w:rsidRPr="00A83EC4">
        <w:rPr>
          <w:lang w:val="en-US"/>
        </w:rPr>
        <w:t xml:space="preserve"> Nâng cao chất lượng quản lý khoản vay xây dựng, mua, thuê mua nhà ở xã hội, quản lý khoản tiền gửi tiết kiệm nhà ở xã hội để sẵn sàng triển khai đầy đủ các hoạt động tín dụng chính sách nhà ở xã hội tại Nghị định số 100/2024/NĐ-CP theo đúng lộ trình.</w:t>
      </w:r>
    </w:p>
    <w:p w:rsidR="0086270C" w:rsidRDefault="006169C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iCs/>
          <w:lang w:val="en-US"/>
        </w:rPr>
      </w:pPr>
      <w:r w:rsidRPr="00A83EC4">
        <w:rPr>
          <w:b/>
          <w:i/>
          <w:lang w:val="en-US"/>
        </w:rPr>
        <w:t xml:space="preserve">(5) </w:t>
      </w:r>
      <w:r w:rsidRPr="00A83EC4">
        <w:rPr>
          <w:b/>
          <w:bCs/>
          <w:i/>
          <w:iCs/>
          <w:lang w:val="en-US"/>
        </w:rPr>
        <w:t>Các địa phương:</w:t>
      </w:r>
      <w:r w:rsidRPr="00A83EC4">
        <w:rPr>
          <w:bCs/>
          <w:iCs/>
          <w:lang w:val="en-US"/>
        </w:rPr>
        <w:t xml:space="preserve">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bCs/>
          <w:iCs/>
          <w:lang w:val="en-US"/>
        </w:rPr>
        <w:t>-</w:t>
      </w:r>
      <w:r w:rsidR="006169C4" w:rsidRPr="00A83EC4">
        <w:rPr>
          <w:bCs/>
          <w:iCs/>
          <w:lang w:val="en-US"/>
        </w:rPr>
        <w:t xml:space="preserve"> </w:t>
      </w:r>
      <w:r w:rsidR="006169C4" w:rsidRPr="00A83EC4">
        <w:rPr>
          <w:lang w:val="en-US"/>
        </w:rPr>
        <w:t xml:space="preserve">Bố trí đủ vốn đầu tư công cho các dự án nhà ở xã hội thuộc nhiệm vụ chi của ngân sách địa phương;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w:t>
      </w:r>
      <w:r w:rsidR="006169C4" w:rsidRPr="00A83EC4">
        <w:rPr>
          <w:lang w:val="en-US"/>
        </w:rPr>
        <w:t xml:space="preserve"> Tiếp tục xem xét, kiểm tra các thủ tục pháp lý, lập danh mục dự án xây dựng nhà ở xã hội đủ điều kiện được vay nguồn vốn ưu đãi của Nhà nước theo quy định pháp luật về nhà ở để công bố công khai trên Cổng Thông tin điện tử của UBND cấp tỉnh, gửi văn bản đến Bộ Xây dựng để theo dõi, tổng hợp; </w:t>
      </w:r>
    </w:p>
    <w:p w:rsidR="0086270C"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w:t>
      </w:r>
      <w:r w:rsidR="006169C4" w:rsidRPr="00A83EC4">
        <w:rPr>
          <w:lang w:val="en-US"/>
        </w:rPr>
        <w:t xml:space="preserve"> Có các cơ chế, giải pháp cụ thể, rút ngắn thủ tục hành chính về lập, phê duyệt dự án, giao đất, cho thuê đất, giải phóng mặt bằng, thủ tục đầu tư xây dựng… để hỗ trợ, khuyến khích các doanh nghiệp triển khai đầu tư xây dựng các dự án phát triển nhà ở xã hội; </w:t>
      </w:r>
    </w:p>
    <w:p w:rsidR="006169C4" w:rsidRPr="00A83EC4" w:rsidRDefault="0086270C"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en-US"/>
        </w:rPr>
      </w:pPr>
      <w:r>
        <w:rPr>
          <w:lang w:val="en-US"/>
        </w:rPr>
        <w:t>-</w:t>
      </w:r>
      <w:r w:rsidR="006169C4" w:rsidRPr="00A83EC4">
        <w:rPr>
          <w:lang w:val="en-US"/>
        </w:rPr>
        <w:t xml:space="preserve"> Tăng cường năng lực cho Quỹ đầu tư phát triển địa phương để mở rộng nguồn vốn phát triển nhà ở xã hội.</w:t>
      </w:r>
    </w:p>
    <w:p w:rsidR="006169C4" w:rsidRPr="00EF1469" w:rsidRDefault="00DB521F"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i/>
          <w:iCs/>
          <w:lang w:val="fr-FR"/>
        </w:rPr>
      </w:pPr>
      <w:r w:rsidRPr="00EF1469">
        <w:rPr>
          <w:b/>
          <w:i/>
          <w:iCs/>
          <w:lang w:val="fr-FR"/>
        </w:rPr>
        <w:t>5.2. Giai đoạn sau năm 2030:</w:t>
      </w:r>
    </w:p>
    <w:p w:rsidR="00DB521F" w:rsidRDefault="00EF1469"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lang w:val="fr-FR"/>
        </w:rPr>
      </w:pPr>
      <w:r>
        <w:rPr>
          <w:bCs/>
          <w:lang w:val="fr-FR"/>
        </w:rPr>
        <w:t xml:space="preserve">Theo quy định tại Nghị định số 100/2024/NĐ-CP, từ năm 2030, NHCSXH thực hiện cho vay chủ đầu tư xây dựng nhà ở xã hội và các cá nhân đầu tư xây dựng, cải tạo nhà ở để triển khai nhà ở xã hội. Nhằm thực hiện hiệu quả nhiệm vụ khi vừa thực hiện cho vay đối với người dân cho nhu cầu mua, thuê mua nhà ở xã hội, vừa cho vay chủ đầu tư phát triển dự án nhà ở xã hội, </w:t>
      </w:r>
      <w:r w:rsidRPr="00A35DBB">
        <w:rPr>
          <w:lang w:val="fr-FR"/>
        </w:rPr>
        <w:t xml:space="preserve">NHCSXH </w:t>
      </w:r>
      <w:r>
        <w:rPr>
          <w:lang w:val="fr-FR"/>
        </w:rPr>
        <w:t xml:space="preserve">sẽ đóng vai trò </w:t>
      </w:r>
      <w:r w:rsidRPr="00A35DBB">
        <w:rPr>
          <w:lang w:val="fr-FR"/>
        </w:rPr>
        <w:t>là định chế tài chính chủ trì các chương trình phát triển nhà ở xã hội, nhằm nâng cao hiệu quả quản trị và sử dụng nguồn vốn cho phát triển nhà ở xã hội</w:t>
      </w:r>
      <w:r>
        <w:rPr>
          <w:lang w:val="fr-FR"/>
        </w:rPr>
        <w:t>, Bộ Tài chính đề xuất các nhiệm vụ, giải pháp đối với NHCSXH như sau:</w:t>
      </w:r>
    </w:p>
    <w:p w:rsidR="00EF1469" w:rsidRPr="00EF1469" w:rsidRDefault="00EF1469"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fr-FR"/>
        </w:rPr>
      </w:pPr>
      <w:r w:rsidRPr="00EF1469">
        <w:rPr>
          <w:bCs/>
          <w:lang w:val="fr-FR"/>
        </w:rPr>
        <w:t>- Nâng cao chất lượng công tác quản lý nguồn vốn và điều hành chỉ tiêu kế hoạch của NHCSXH.</w:t>
      </w:r>
    </w:p>
    <w:p w:rsidR="00EF1469" w:rsidRPr="00EF1469" w:rsidRDefault="00EF1469"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fr-FR"/>
        </w:rPr>
      </w:pPr>
      <w:r w:rsidRPr="00EF1469">
        <w:rPr>
          <w:bCs/>
          <w:lang w:val="fr-FR"/>
        </w:rPr>
        <w:t>- Chuyên nghiệp hóa công tác quản lý khoản vay nhà ở xã hội, khoản tiền gửi tiết kiệm nhà ở xã hội của người dân thông qua nâng cấp hạ tầng công nghệ thông tin quản lý khoản vay, xây dựng các sản phẩm tiền gửi tiết kiệm nhà ở xã hội theo hướng bao gồm sản phẩm tiết kiệm gửi góp thủ công và sản phẩm tiết kiệm gửi góp tự động.</w:t>
      </w:r>
    </w:p>
    <w:p w:rsidR="00EF1469" w:rsidRPr="00EF1469" w:rsidRDefault="00EF1469"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fr-FR"/>
        </w:rPr>
      </w:pPr>
      <w:r w:rsidRPr="00EF1469">
        <w:rPr>
          <w:bCs/>
          <w:lang w:val="fr-FR"/>
        </w:rPr>
        <w:t>- Tăng cường công tác kiểm tra giám sát, phối hợp chặt chẽ với chủ đầu tư dự án nhà ở xã hội để hỗ trợ khách hàng vay vốn.</w:t>
      </w:r>
    </w:p>
    <w:p w:rsidR="00EF1469" w:rsidRPr="00EF1469" w:rsidRDefault="00EF1469"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fr-FR"/>
        </w:rPr>
      </w:pPr>
      <w:r w:rsidRPr="00EF1469">
        <w:rPr>
          <w:bCs/>
          <w:lang w:val="fr-FR"/>
        </w:rPr>
        <w:t>- Đẩy mạnh công tác thông tin tuyên truyền về các chương trình cho vay ưu đãi phát triển nhà ở xã hội.</w:t>
      </w:r>
    </w:p>
    <w:p w:rsidR="00EF1469" w:rsidRDefault="00EF1469"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fr-FR"/>
        </w:rPr>
      </w:pPr>
      <w:r>
        <w:rPr>
          <w:bCs/>
          <w:lang w:val="fr-FR"/>
        </w:rPr>
        <w:t>-</w:t>
      </w:r>
      <w:r w:rsidRPr="00EF1469">
        <w:rPr>
          <w:bCs/>
          <w:lang w:val="fr-FR"/>
        </w:rPr>
        <w:t xml:space="preserve"> Nâng cao chất lượng nguồn nhân lực tham gia cho vay nhà ở xã hội, bao gồm: cán bộ NHCSXH và cán bộ làm công tác ủy thác cho vay của các tổ chức chính trị- xã hội để thực hiện (i) thẩm định các dự án cho vay nhà ở xã hội (đối với cả chủ đầu tư và cá nhân có nhu cầu sử dụng nhà ở xã hội); (ii) theo dõi, quản lý khoản vay; (iii) quản lý rủi ro việc triển khai hoạt động cho vay chính sách phát triển nhà ở xã hội.</w:t>
      </w:r>
      <w:bookmarkEnd w:id="1"/>
    </w:p>
    <w:p w:rsidR="00893B24" w:rsidRDefault="00893B24"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rPr>
      </w:pPr>
    </w:p>
    <w:p w:rsidR="006E3BFA" w:rsidRPr="00EF1469" w:rsidRDefault="00DB7FA7"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
          <w:bCs/>
        </w:rPr>
      </w:pPr>
      <w:r w:rsidRPr="00EF1469">
        <w:rPr>
          <w:b/>
          <w:bCs/>
        </w:rPr>
        <w:t xml:space="preserve">IV. Ý KIẾN CỦA CÁC CƠ QUAN </w:t>
      </w:r>
    </w:p>
    <w:p w:rsidR="00DB521F" w:rsidRDefault="00DB521F"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rPr>
      </w:pPr>
      <w:r w:rsidRPr="00DB521F">
        <w:rPr>
          <w:b/>
        </w:rPr>
        <w:t>1.</w:t>
      </w:r>
      <w:r w:rsidRPr="00DB521F">
        <w:rPr>
          <w:bCs/>
        </w:rPr>
        <w:t xml:space="preserve"> Bộ Tài chính đã tiếp nhận, tổng hợp</w:t>
      </w:r>
      <w:r w:rsidR="00E118BE">
        <w:rPr>
          <w:bCs/>
          <w:lang w:val="vi-VN"/>
        </w:rPr>
        <w:t xml:space="preserve"> đầy đủ</w:t>
      </w:r>
      <w:r w:rsidR="00025A42">
        <w:rPr>
          <w:bCs/>
        </w:rPr>
        <w:t xml:space="preserve"> và tiếp thu</w:t>
      </w:r>
      <w:r w:rsidRPr="00DB521F">
        <w:rPr>
          <w:bCs/>
        </w:rPr>
        <w:t xml:space="preserve"> các ý kiến của NHNN</w:t>
      </w:r>
      <w:r w:rsidR="00804D33">
        <w:rPr>
          <w:rStyle w:val="FootnoteReference"/>
          <w:bCs/>
        </w:rPr>
        <w:footnoteReference w:id="16"/>
      </w:r>
      <w:r w:rsidRPr="00DB521F">
        <w:rPr>
          <w:bCs/>
        </w:rPr>
        <w:t xml:space="preserve"> và các ngân hàng chính sách về tình hình triển khai các chương trình tín dụng chính sách về nhà ở xã hội.</w:t>
      </w:r>
    </w:p>
    <w:p w:rsidR="00261DCB" w:rsidRPr="00261DCB" w:rsidRDefault="00261DCB" w:rsidP="00261DCB">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rPr>
      </w:pPr>
      <w:r w:rsidRPr="00261DCB">
        <w:rPr>
          <w:bCs/>
        </w:rPr>
        <w:t xml:space="preserve">Về phía các địa phương, Bộ Tài chính đã nhận được công văn nhất trí của </w:t>
      </w:r>
      <w:bookmarkStart w:id="6" w:name="_Hlk186789416"/>
      <w:r w:rsidRPr="00261DCB">
        <w:rPr>
          <w:bCs/>
        </w:rPr>
        <w:t>TP Hà Nội,</w:t>
      </w:r>
      <w:bookmarkEnd w:id="6"/>
      <w:r w:rsidRPr="00261DCB">
        <w:rPr>
          <w:bCs/>
        </w:rPr>
        <w:t xml:space="preserve"> tỉnh Bắc Ninh, Bắc Giang</w:t>
      </w:r>
      <w:r w:rsidRPr="00261DCB">
        <w:rPr>
          <w:bCs/>
          <w:vertAlign w:val="superscript"/>
        </w:rPr>
        <w:footnoteReference w:id="17"/>
      </w:r>
      <w:r w:rsidRPr="00261DCB">
        <w:rPr>
          <w:bCs/>
        </w:rPr>
        <w:t>.</w:t>
      </w:r>
    </w:p>
    <w:p w:rsidR="00DB521F" w:rsidRDefault="00DB521F" w:rsidP="0086270C">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rPr>
      </w:pPr>
      <w:r w:rsidRPr="00DB521F">
        <w:rPr>
          <w:b/>
        </w:rPr>
        <w:t>2.</w:t>
      </w:r>
      <w:r w:rsidRPr="00DB521F">
        <w:rPr>
          <w:bCs/>
        </w:rPr>
        <w:t xml:space="preserve"> Đối với ý kiến của NHNN liên quan đến </w:t>
      </w:r>
      <w:bookmarkStart w:id="7" w:name="_Hlk186197550"/>
      <w:r w:rsidRPr="00DB521F">
        <w:rPr>
          <w:bCs/>
        </w:rPr>
        <w:t>việc quản lý nguồn thu từ các chủ đầu tư nộp vào ngân sách theo quy định tại Nghị định số 100/2015/NĐ-CP và Nghị định số 100/2024/NĐ-CP</w:t>
      </w:r>
      <w:r w:rsidRPr="00DB521F">
        <w:rPr>
          <w:bCs/>
          <w:vertAlign w:val="superscript"/>
        </w:rPr>
        <w:footnoteReference w:id="18"/>
      </w:r>
      <w:bookmarkEnd w:id="7"/>
      <w:r w:rsidRPr="00DB521F">
        <w:rPr>
          <w:bCs/>
        </w:rPr>
        <w:t>, Bộ Tài chính báo cáo Lãnh đạo Chính phủ như sau:</w:t>
      </w:r>
    </w:p>
    <w:p w:rsidR="004A542D" w:rsidRPr="00544F62" w:rsidRDefault="004A542D" w:rsidP="004A542D">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rPr>
      </w:pPr>
      <w:r>
        <w:rPr>
          <w:bCs/>
        </w:rPr>
        <w:t>- NHNN có ý kiến cho rằng hiện nay quy định tại Nghị định số 100/2015/NĐ-CP và Nghị định số 100/2024/NĐ-CP đã yêu cầu chủ đầu tư nhà ở thương mại đóng tiền thu sử dụng đấy tương đương giá trị quỹ đất ở phải dành để đầu tư xây dựng nhà ở xã hội, vậy việc quản lý và sử dụng nguồn thu này cho phát triển nhà ở xã hội được thực hiện như thế nào?</w:t>
      </w:r>
    </w:p>
    <w:p w:rsidR="004A542D" w:rsidRDefault="004A542D" w:rsidP="004A542D">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bCs/>
          <w:lang w:val="en-US"/>
        </w:rPr>
      </w:pPr>
      <w:r>
        <w:rPr>
          <w:bCs/>
          <w:lang w:val="en-US"/>
        </w:rPr>
        <w:t>- Bộ Tài chính báo cáo như sau:</w:t>
      </w:r>
    </w:p>
    <w:p w:rsidR="00DB521F" w:rsidRPr="00DB521F" w:rsidRDefault="004A542D" w:rsidP="004A542D">
      <w:pPr>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20"/>
        <w:jc w:val="both"/>
        <w:rPr>
          <w:bCs/>
          <w:lang w:val="en-US"/>
        </w:rPr>
      </w:pPr>
      <w:r>
        <w:rPr>
          <w:bCs/>
        </w:rPr>
        <w:t>+</w:t>
      </w:r>
      <w:bookmarkStart w:id="8" w:name="_Hlk186197583"/>
      <w:r w:rsidR="00DB521F" w:rsidRPr="00DB521F">
        <w:rPr>
          <w:bCs/>
        </w:rPr>
        <w:t xml:space="preserve"> Nghị định số 100/2015/NĐ-CP (</w:t>
      </w:r>
      <w:r w:rsidR="00DB521F" w:rsidRPr="00DB521F">
        <w:rPr>
          <w:bCs/>
          <w:lang w:val="en-US"/>
        </w:rPr>
        <w:t xml:space="preserve">khoản 2 Điều 5) </w:t>
      </w:r>
      <w:r w:rsidR="00DB521F" w:rsidRPr="00DB521F">
        <w:rPr>
          <w:bCs/>
        </w:rPr>
        <w:t xml:space="preserve">quy định dự án phát triển nhà ở thương mại, dự án đầu tư phát triển đô thị có quy mô sử dụng đất dưới 10 ha thì chủ đầu tư dự án được lựa chọn hình thức nộp bằng tiền tương đương giá trị quỹ đất 20% theo giá đất mà chủ đầu tư thực hiện nghĩa vụ với Nhà nước. </w:t>
      </w:r>
      <w:r w:rsidR="00DB521F" w:rsidRPr="00DB521F">
        <w:rPr>
          <w:bCs/>
          <w:lang w:val="en-US"/>
        </w:rPr>
        <w:t>Đây là nguồn thu từ tiền sử dụng đất vào ngân sách địa phương dành để đầu tư xây dựng nhà ở xã hội trên phạm vi địa bàn, không quy định yêu cầu chủ đầu tư dự án phát triển nhà ở thương mại, dự án đầu tư phát triển đô thị đó phải nộp thêm khoản tiền tương đương giá trị quỹ đất 20% theo giá đất mà chủ đầu tư thực hiện nghĩa vụ với Nhà nước. Đối với dự án được cơ quan có thẩm quyền cho phép thực hiện nghĩa vụ nhà ở xã hội bằng hình thức nộp tiền trên cơ sở đề xuất của chủ đầu tư thì việc xác định tiền sử dụng đất thực hiện theo quy định của pháp luật đất đai.</w:t>
      </w:r>
    </w:p>
    <w:p w:rsidR="00DB521F" w:rsidRPr="00DB521F" w:rsidRDefault="004A542D"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bCs/>
          <w:lang w:val="en-US"/>
        </w:rPr>
      </w:pPr>
      <w:r>
        <w:rPr>
          <w:bCs/>
          <w:lang w:val="en-US"/>
        </w:rPr>
        <w:t>+</w:t>
      </w:r>
      <w:r w:rsidR="00DB521F" w:rsidRPr="00DB521F">
        <w:rPr>
          <w:bCs/>
          <w:lang w:val="en-US"/>
        </w:rPr>
        <w:t xml:space="preserve"> Điều 19 Nghị định 100/2024/NĐ-CP quy định trường hợp chủ đầu tư dự án nhà ở thương mại đóng tiền tương đương giá trị quỹ đất ở phải dành để đầu tư xây dựng nhà ở xã hội thì số tiền phải được nộp vào ngân sách địa phương và quản lý, sử dụng theo quy định của pháp luật về ngân sách nhà nước.</w:t>
      </w:r>
    </w:p>
    <w:p w:rsidR="00DB521F" w:rsidRPr="00DB521F" w:rsidRDefault="004A542D"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bCs/>
        </w:rPr>
      </w:pPr>
      <w:r>
        <w:rPr>
          <w:bCs/>
          <w:lang w:val="en-US"/>
        </w:rPr>
        <w:t>+</w:t>
      </w:r>
      <w:r w:rsidR="00DB521F" w:rsidRPr="00DB521F">
        <w:rPr>
          <w:bCs/>
          <w:lang w:val="en-US"/>
        </w:rPr>
        <w:t xml:space="preserve"> Nguồn thu tiền sử dụng đất là một trong những khoản thu lớn của ngân sách nhà nước. Đối với năm 2024, Quốc hội giao </w:t>
      </w:r>
      <w:r w:rsidR="00DB521F" w:rsidRPr="00DB521F">
        <w:rPr>
          <w:bCs/>
        </w:rPr>
        <w:t xml:space="preserve">gần 227 nghìn tỷ đồng đối với khoản thu tiền sử dụng đất, tương đương 15,7% tổng dự toán thu nội địa ngân sách nhà nước. Tính đến cuối năm 2024, tổng số tiền thu sử dụng đất ước đạt </w:t>
      </w:r>
      <w:r w:rsidR="004221D0">
        <w:rPr>
          <w:bCs/>
        </w:rPr>
        <w:t>226,</w:t>
      </w:r>
      <w:r w:rsidR="004221D0" w:rsidRPr="004221D0">
        <w:rPr>
          <w:bCs/>
        </w:rPr>
        <w:t xml:space="preserve">9 </w:t>
      </w:r>
      <w:r w:rsidR="00DB521F" w:rsidRPr="004221D0">
        <w:rPr>
          <w:bCs/>
        </w:rPr>
        <w:t>nghìn tỷ đồng</w:t>
      </w:r>
      <w:r w:rsidR="004221D0" w:rsidRPr="004221D0">
        <w:rPr>
          <w:bCs/>
        </w:rPr>
        <w:t>, tăng</w:t>
      </w:r>
      <w:r w:rsidR="004221D0">
        <w:rPr>
          <w:bCs/>
        </w:rPr>
        <w:t xml:space="preserve"> 47,8% so với cùng kỳ năm 2023</w:t>
      </w:r>
      <w:r w:rsidR="00DB521F" w:rsidRPr="00DB521F">
        <w:rPr>
          <w:bCs/>
        </w:rPr>
        <w:t>. Theo quy định của pháp luật về ngân sách nhà nước, nguồn thu tiền sử dụng đất là một trong các nguồn thu ngân sách địa phương được sử dụng cho chi đầu tư phát triển của địa phương, bao gồm việc chi đầu tư xây dựng các dự án nhà ở xã hội hoặc chi hỗ trợ chính sách nhà ở xã hội theo Nghị định số 100/2024/NĐ-CP.</w:t>
      </w:r>
    </w:p>
    <w:bookmarkEnd w:id="8"/>
    <w:p w:rsidR="00DB521F" w:rsidRPr="00DB521F" w:rsidRDefault="00DB521F" w:rsidP="0086270C">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bCs/>
        </w:rPr>
      </w:pPr>
      <w:r w:rsidRPr="00DB521F">
        <w:rPr>
          <w:b/>
        </w:rPr>
        <w:t>3.</w:t>
      </w:r>
      <w:r w:rsidRPr="00DB521F">
        <w:rPr>
          <w:bCs/>
        </w:rPr>
        <w:t xml:space="preserve"> Đối với ý kiến của NHNN về </w:t>
      </w:r>
      <w:bookmarkStart w:id="9" w:name="_Hlk186197681"/>
      <w:r w:rsidRPr="00DB521F">
        <w:rPr>
          <w:bCs/>
        </w:rPr>
        <w:t>đề xuất nguồn lực tài chính dài hạn cho phát triển nhà ở xã hội</w:t>
      </w:r>
      <w:bookmarkEnd w:id="9"/>
      <w:r w:rsidRPr="00DB521F">
        <w:rPr>
          <w:bCs/>
        </w:rPr>
        <w:t>, Bộ Tài chính báo cáo như sau:</w:t>
      </w:r>
    </w:p>
    <w:p w:rsidR="008C38A6" w:rsidRDefault="008C38A6" w:rsidP="008C38A6">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bCs/>
        </w:rPr>
      </w:pPr>
      <w:r>
        <w:rPr>
          <w:bCs/>
        </w:rPr>
        <w:t>- NHNN đề nghị có đề xuất về  nguồn lực tài chính dài hạn cho phát triển nhà ở xã hội.</w:t>
      </w:r>
    </w:p>
    <w:p w:rsidR="008C38A6" w:rsidRDefault="008C38A6" w:rsidP="008C38A6">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bCs/>
        </w:rPr>
      </w:pPr>
      <w:r>
        <w:rPr>
          <w:bCs/>
        </w:rPr>
        <w:t>- Bộ Tài chính báo cáo như sau:</w:t>
      </w:r>
    </w:p>
    <w:p w:rsidR="00DB521F" w:rsidRPr="00DB521F" w:rsidRDefault="008C38A6" w:rsidP="0086270C">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bCs/>
        </w:rPr>
      </w:pPr>
      <w:r>
        <w:rPr>
          <w:bCs/>
        </w:rPr>
        <w:t>+</w:t>
      </w:r>
      <w:r w:rsidR="00DB521F" w:rsidRPr="00DB521F">
        <w:rPr>
          <w:bCs/>
        </w:rPr>
        <w:t xml:space="preserve"> Pháp luật về nhà ở và nhà ở xã hội đã quy định cụ thể về các nguồn vốn để phát triển nhà ở xã hội, trong đó nguồn vốn hỗ trợ Nhà nước cho phát triển nhà ở xã hội là nguồn quan trọng nhất do việc huy động các nguồn lực tư nhân, nguồn vốn xã hội hóa trong bối cảnh hiện nay còn hạn chế. </w:t>
      </w:r>
    </w:p>
    <w:p w:rsidR="00DB521F" w:rsidRPr="00DB521F" w:rsidRDefault="008C38A6" w:rsidP="0086270C">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bCs/>
        </w:rPr>
      </w:pPr>
      <w:r>
        <w:rPr>
          <w:bCs/>
        </w:rPr>
        <w:t>+</w:t>
      </w:r>
      <w:r w:rsidR="00DB521F" w:rsidRPr="00DB521F">
        <w:rPr>
          <w:bCs/>
        </w:rPr>
        <w:t xml:space="preserve"> Như đã báo cáo về thực trạng nêu trên, các nguồn vốn để phát triển nhà ở xã hội đã được quy định và triển khai đầy đủ tại các văn bản chỉ đạo, Nghị định của Chính phủ. Tuy nhiên, vướng mắc hiện nay là chưa tập trung phân bổ đủ nguồn lực cần thiết để triển khai cho các chương trình, chính sách có lộ trình dài hạn, đặc biệt là nguồn vốn Nhà nước hỗ trợ theo Nghị định số 100/2024/NĐ-CP. </w:t>
      </w:r>
    </w:p>
    <w:p w:rsidR="00DB521F" w:rsidRDefault="00DB521F" w:rsidP="0086270C">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bCs/>
        </w:rPr>
      </w:pPr>
      <w:r w:rsidRPr="00DB521F">
        <w:rPr>
          <w:bCs/>
        </w:rPr>
        <w:t xml:space="preserve">Do đó, để đáp ứng nhu cầu vốn cho phát triển nhà ở xã hội theo định hướng của Đảng, Quốc hội và Chính phủ, </w:t>
      </w:r>
      <w:bookmarkStart w:id="10" w:name="_Hlk186197967"/>
      <w:r w:rsidRPr="00DB521F">
        <w:rPr>
          <w:bCs/>
        </w:rPr>
        <w:t xml:space="preserve">Bộ Tài chính và Bộ Kế hoạch và Đầu tư </w:t>
      </w:r>
      <w:bookmarkEnd w:id="10"/>
      <w:r w:rsidRPr="00DB521F">
        <w:rPr>
          <w:bCs/>
        </w:rPr>
        <w:t xml:space="preserve">sẽ </w:t>
      </w:r>
      <w:bookmarkStart w:id="11" w:name="_Hlk186197930"/>
      <w:r w:rsidRPr="00DB521F">
        <w:rPr>
          <w:bCs/>
        </w:rPr>
        <w:t>phối hợp xây dựng kế hoạch và phân bổ nguồn ngân sách cho chi đầu tư phát triển để thực hiện các mục tiêu nhà ở xã hội dài hạn, bền vững. Đồng thời, nhằm tăng cường sự đóng góp của khu vực tư nhân, trên cơ sở kinh nghiệm các nước, căn cứ đề xuất của Bộ Xây dựng về nhu cầu vốn cho vay nhà ở xã hội giai đoạn 2025-2030, đề nghị Bộ Xây dựng và các ngân hàng chính sách rà soát nguồn lực để xây dựng Đề án phát hành trái phiếu, bao gồm trái phiếu được Chính phủ bảo lãnh để huy động nguồn vốn cho vay nhà ở xã hội, cần thiết kiến nghị cấp có thẩm quyền về định hướng huy động vốn, bao gồm chỉ đạo của Bộ Chính trị tại Nghị quyết số 07-NQ/TW</w:t>
      </w:r>
      <w:r w:rsidRPr="00DB521F">
        <w:rPr>
          <w:bCs/>
          <w:vertAlign w:val="superscript"/>
        </w:rPr>
        <w:footnoteReference w:id="19"/>
      </w:r>
      <w:r w:rsidRPr="00DB521F">
        <w:rPr>
          <w:bCs/>
        </w:rPr>
        <w:t>. Trên cơ sở đó, Bộ Tài chính sẽ báo cáo cấp có thẩm quyền và xem xét có ý kiến chi tiết đối với các kế hoạch huy động vốn từ thị trường tài chính của các ngân hàng chính sách.</w:t>
      </w:r>
      <w:bookmarkEnd w:id="11"/>
    </w:p>
    <w:p w:rsidR="006E3BFA" w:rsidRDefault="00DB7FA7" w:rsidP="0086270C">
      <w:pPr>
        <w:pBdr>
          <w:top w:val="dotted" w:sz="4" w:space="0" w:color="FFFFFF"/>
          <w:left w:val="dotted" w:sz="4" w:space="0" w:color="FFFFFF"/>
          <w:bottom w:val="dotted" w:sz="4" w:space="16" w:color="FFFFFF"/>
          <w:right w:val="dotted" w:sz="4" w:space="0" w:color="FFFFFF"/>
        </w:pBdr>
        <w:spacing w:before="120" w:after="120" w:line="360" w:lineRule="exact"/>
        <w:ind w:firstLine="709"/>
        <w:jc w:val="both"/>
        <w:rPr>
          <w:rFonts w:eastAsia="Arial"/>
          <w:b/>
          <w:bCs/>
        </w:rPr>
      </w:pPr>
      <w:r w:rsidRPr="00DB521F">
        <w:rPr>
          <w:rFonts w:eastAsia="Arial"/>
          <w:b/>
          <w:bCs/>
        </w:rPr>
        <w:t>V. KIẾN NGHỊ</w:t>
      </w:r>
    </w:p>
    <w:p w:rsidR="00DB521F" w:rsidRPr="00A83EC4" w:rsidRDefault="00DB521F"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b/>
          <w:bCs/>
          <w:lang w:val="nl-NL"/>
        </w:rPr>
      </w:pPr>
      <w:r w:rsidRPr="00A83EC4">
        <w:rPr>
          <w:bCs/>
          <w:lang w:val="nl-NL"/>
        </w:rPr>
        <w:t xml:space="preserve">Trên cơ sở nội dung báo cáo, Bộ Tài chính trình Lãnh đạo Chính phủ chỉ đạo tập trung </w:t>
      </w:r>
      <w:r w:rsidR="00E118BE">
        <w:rPr>
          <w:bCs/>
          <w:lang w:val="vi-VN"/>
        </w:rPr>
        <w:t>bố trí</w:t>
      </w:r>
      <w:r w:rsidRPr="00A83EC4">
        <w:rPr>
          <w:bCs/>
          <w:lang w:val="nl-NL"/>
        </w:rPr>
        <w:t xml:space="preserve"> nguồn vốn cho chính sách nhà ở xã hội theo quy định và</w:t>
      </w:r>
      <w:r w:rsidR="00E118BE">
        <w:rPr>
          <w:bCs/>
          <w:lang w:val="vi-VN"/>
        </w:rPr>
        <w:t xml:space="preserve"> nguồn vốn cho</w:t>
      </w:r>
      <w:r w:rsidRPr="00A83EC4">
        <w:rPr>
          <w:bCs/>
          <w:lang w:val="nl-NL"/>
        </w:rPr>
        <w:t xml:space="preserve"> các chương trình tín dụng ưu đãi hiện hành; đồng thời, </w:t>
      </w:r>
      <w:r w:rsidR="00E118BE">
        <w:rPr>
          <w:bCs/>
          <w:lang w:val="vi-VN"/>
        </w:rPr>
        <w:t xml:space="preserve">đổi mới, </w:t>
      </w:r>
      <w:r w:rsidRPr="00A83EC4">
        <w:rPr>
          <w:bCs/>
          <w:lang w:val="nl-NL"/>
        </w:rPr>
        <w:t>nâng cao hiệu quả công tác tổ chức thực hiện. Theo đó, Bộ Tài chính trình Lãnh đạo Chính phủ:</w:t>
      </w:r>
    </w:p>
    <w:p w:rsidR="00DB521F" w:rsidRPr="00E118BE" w:rsidRDefault="00DB521F"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b/>
          <w:bCs/>
          <w:lang w:val="vi-VN"/>
        </w:rPr>
      </w:pPr>
      <w:r w:rsidRPr="00A83EC4">
        <w:rPr>
          <w:b/>
          <w:bCs/>
          <w:lang w:val="nl-NL"/>
        </w:rPr>
        <w:t>1.</w:t>
      </w:r>
      <w:r w:rsidRPr="00A83EC4">
        <w:rPr>
          <w:bCs/>
          <w:lang w:val="nl-NL"/>
        </w:rPr>
        <w:t xml:space="preserve"> Tiếp tục giao NHCSXH, Ngân hàng Phát triển Việt Nam và các NHTM tập trung triển khai hiệu quả chương trình tín dụng ưu đãi theo quy định tại Nghị định số 100/2024/NĐ-CP và Chương trình cho vay nhà ở xã hội, nhà ở công nhân theo Nghị quyết số 33/NQ-CP.</w:t>
      </w:r>
      <w:r w:rsidR="00E118BE">
        <w:rPr>
          <w:bCs/>
          <w:lang w:val="vi-VN"/>
        </w:rPr>
        <w:t xml:space="preserve"> Trên cơ sở tổ chức thực hiện, định kỳ có cơ chế đánh giá, tổng kết để phát huy kết quả đạt được, khắc phục các hạn chế, tồn tại, kịp thời kiến nghị cấp có thẩm quyền t</w:t>
      </w:r>
      <w:r w:rsidR="00130846">
        <w:rPr>
          <w:bCs/>
          <w:lang w:val="vi-VN"/>
        </w:rPr>
        <w:t>háo gỡ các vướng mắc về cơ chế chính sách và công tác thực hiện.</w:t>
      </w:r>
    </w:p>
    <w:p w:rsidR="00DB521F" w:rsidRPr="00A83EC4" w:rsidRDefault="00DB521F"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lang w:val="nl-NL"/>
        </w:rPr>
      </w:pPr>
      <w:r w:rsidRPr="00A83EC4">
        <w:rPr>
          <w:b/>
          <w:bCs/>
          <w:lang w:val="nl-NL"/>
        </w:rPr>
        <w:t>2.</w:t>
      </w:r>
      <w:r w:rsidRPr="00A83EC4">
        <w:rPr>
          <w:bCs/>
          <w:lang w:val="nl-NL"/>
        </w:rPr>
        <w:t xml:space="preserve"> G</w:t>
      </w:r>
      <w:r w:rsidRPr="00A83EC4">
        <w:rPr>
          <w:lang w:val="nl-NL"/>
        </w:rPr>
        <w:t>iao các Bộ, ngành, địa phương triển khai các giải pháp tại Mục III.</w:t>
      </w:r>
      <w:r w:rsidR="00571C5B">
        <w:rPr>
          <w:lang w:val="nl-NL"/>
        </w:rPr>
        <w:t>5</w:t>
      </w:r>
      <w:r w:rsidRPr="00A83EC4">
        <w:rPr>
          <w:lang w:val="nl-NL"/>
        </w:rPr>
        <w:t xml:space="preserve"> nêu trên.</w:t>
      </w:r>
      <w:r w:rsidRPr="00A83EC4">
        <w:rPr>
          <w:lang w:val="nl-NL"/>
        </w:rPr>
        <w:tab/>
      </w:r>
      <w:r w:rsidRPr="00A83EC4">
        <w:rPr>
          <w:lang w:val="nl-NL"/>
        </w:rPr>
        <w:tab/>
      </w:r>
    </w:p>
    <w:p w:rsidR="00DB521F" w:rsidRPr="00A83EC4" w:rsidRDefault="00DB521F" w:rsidP="0086270C">
      <w:pPr>
        <w:pBdr>
          <w:top w:val="dotted" w:sz="4" w:space="0" w:color="FFFFFF"/>
          <w:left w:val="dotted" w:sz="4" w:space="0" w:color="FFFFFF"/>
          <w:bottom w:val="dotted" w:sz="4" w:space="16" w:color="FFFFFF"/>
          <w:right w:val="dotted" w:sz="4" w:space="0" w:color="FFFFFF"/>
        </w:pBdr>
        <w:spacing w:before="120" w:after="120" w:line="360" w:lineRule="exact"/>
        <w:ind w:firstLine="720"/>
        <w:jc w:val="both"/>
        <w:rPr>
          <w:lang w:val="nl-NL"/>
        </w:rPr>
      </w:pPr>
      <w:r w:rsidRPr="00A83EC4">
        <w:rPr>
          <w:b/>
          <w:lang w:val="nl-NL"/>
        </w:rPr>
        <w:t>3.</w:t>
      </w:r>
      <w:r w:rsidRPr="00A83EC4">
        <w:rPr>
          <w:lang w:val="nl-NL"/>
        </w:rPr>
        <w:t xml:space="preserve"> </w:t>
      </w:r>
      <w:r w:rsidRPr="00A83EC4">
        <w:rPr>
          <w:bCs/>
          <w:lang w:val="nl-NL"/>
        </w:rPr>
        <w:t>Căn cứ tình hình triển khai Nghị định số 100/2024/NĐ-CP và các Chương trình tín dụng ưu đãi phát triển nhà ở xã hội, giao Bộ Xây dựng phối hợp với NHNN, NHCSXH và các địa phương đánh giá kết quả thực hiện để đề xuất, kiến nghị định hướng triển khai phù hợp với nhu cầu từng giai đoạn.</w:t>
      </w:r>
      <w:r>
        <w:rPr>
          <w:lang w:val="nl-NL"/>
        </w:rPr>
        <w:t>/.</w:t>
      </w:r>
    </w:p>
    <w:p w:rsidR="00D76582" w:rsidRPr="00EF1469" w:rsidRDefault="0055701D" w:rsidP="00EF1469">
      <w:pPr>
        <w:widowControl w:val="0"/>
        <w:spacing w:before="120" w:after="120" w:line="380" w:lineRule="exact"/>
        <w:ind w:left="4320" w:firstLine="720"/>
        <w:jc w:val="center"/>
        <w:rPr>
          <w:b/>
          <w:bCs/>
          <w:lang w:val="nl-NL"/>
        </w:rPr>
      </w:pPr>
      <w:r w:rsidRPr="00D9236C">
        <w:rPr>
          <w:b/>
          <w:bCs/>
          <w:lang w:val="nl-NL"/>
        </w:rPr>
        <w:t>BỘ TÀI CHÍNH</w:t>
      </w:r>
    </w:p>
    <w:sectPr w:rsidR="00D76582" w:rsidRPr="00EF1469" w:rsidSect="00DB521F">
      <w:headerReference w:type="default" r:id="rId8"/>
      <w:footerReference w:type="even" r:id="rId9"/>
      <w:footerReference w:type="default" r:id="rId10"/>
      <w:footerReference w:type="first" r:id="rId11"/>
      <w:type w:val="continuous"/>
      <w:pgSz w:w="11907" w:h="16840" w:code="9"/>
      <w:pgMar w:top="1134" w:right="1134" w:bottom="630" w:left="1701" w:header="720" w:footer="5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C5" w:rsidRDefault="00E11BC5" w:rsidP="0055701D">
      <w:r>
        <w:separator/>
      </w:r>
    </w:p>
  </w:endnote>
  <w:endnote w:type="continuationSeparator" w:id="0">
    <w:p w:rsidR="00E11BC5" w:rsidRDefault="00E11BC5" w:rsidP="00557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C5" w:rsidRDefault="00F549F6" w:rsidP="007B7A34">
    <w:pPr>
      <w:pStyle w:val="Footer"/>
      <w:framePr w:wrap="around" w:vAnchor="text" w:hAnchor="margin" w:xAlign="center" w:y="1"/>
      <w:rPr>
        <w:rStyle w:val="PageNumber"/>
        <w:rFonts w:eastAsiaTheme="majorEastAsia"/>
      </w:rPr>
    </w:pPr>
    <w:r>
      <w:rPr>
        <w:rStyle w:val="PageNumber"/>
        <w:rFonts w:eastAsiaTheme="majorEastAsia"/>
      </w:rPr>
      <w:fldChar w:fldCharType="begin"/>
    </w:r>
    <w:r w:rsidR="00E11BC5">
      <w:rPr>
        <w:rStyle w:val="PageNumber"/>
        <w:rFonts w:eastAsiaTheme="majorEastAsia"/>
      </w:rPr>
      <w:instrText xml:space="preserve">PAGE  </w:instrText>
    </w:r>
    <w:r>
      <w:rPr>
        <w:rStyle w:val="PageNumber"/>
        <w:rFonts w:eastAsiaTheme="majorEastAsia"/>
      </w:rPr>
      <w:fldChar w:fldCharType="separate"/>
    </w:r>
    <w:r w:rsidR="00E11BC5">
      <w:rPr>
        <w:rStyle w:val="PageNumber"/>
        <w:rFonts w:eastAsiaTheme="majorEastAsia"/>
      </w:rPr>
      <w:t>6</w:t>
    </w:r>
    <w:r>
      <w:rPr>
        <w:rStyle w:val="PageNumber"/>
        <w:rFonts w:eastAsiaTheme="majorEastAsia"/>
      </w:rPr>
      <w:fldChar w:fldCharType="end"/>
    </w:r>
  </w:p>
  <w:p w:rsidR="00E11BC5" w:rsidRDefault="00E11B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C5" w:rsidRPr="00C65B00" w:rsidRDefault="00E11BC5">
    <w:pPr>
      <w:pStyle w:val="Footer"/>
      <w:jc w:val="right"/>
      <w:rPr>
        <w:sz w:val="24"/>
        <w:szCs w:val="24"/>
      </w:rPr>
    </w:pPr>
  </w:p>
  <w:p w:rsidR="00E11BC5" w:rsidRDefault="00E11B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C5" w:rsidRDefault="00E11BC5">
    <w:pPr>
      <w:pStyle w:val="Footer"/>
      <w:jc w:val="right"/>
    </w:pPr>
  </w:p>
  <w:p w:rsidR="00E11BC5" w:rsidRDefault="00E11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C5" w:rsidRDefault="00E11BC5" w:rsidP="0055701D">
      <w:r>
        <w:separator/>
      </w:r>
    </w:p>
  </w:footnote>
  <w:footnote w:type="continuationSeparator" w:id="0">
    <w:p w:rsidR="00E11BC5" w:rsidRDefault="00E11BC5" w:rsidP="0055701D">
      <w:r>
        <w:continuationSeparator/>
      </w:r>
    </w:p>
  </w:footnote>
  <w:footnote w:id="1">
    <w:p w:rsidR="00E11BC5" w:rsidRPr="00DE4343" w:rsidRDefault="00E11BC5" w:rsidP="00D9236C">
      <w:pPr>
        <w:pStyle w:val="FootnoteText"/>
        <w:spacing w:after="0"/>
        <w:ind w:firstLine="0"/>
      </w:pPr>
      <w:r w:rsidRPr="00A35DBB">
        <w:rPr>
          <w:rStyle w:val="FootnoteReference"/>
        </w:rPr>
        <w:footnoteRef/>
      </w:r>
      <w:r w:rsidRPr="00A35DBB">
        <w:t xml:space="preserve"> Nghị định số 71/2010/NĐ-CP ngày 23/6/2010 quy định chi tiết Luật Nhà ở, </w:t>
      </w:r>
      <w:hyperlink r:id="rId1" w:tgtFrame="_blank" w:history="1">
        <w:r w:rsidRPr="00DE4343">
          <w:rPr>
            <w:rStyle w:val="Hyperlink"/>
            <w:color w:val="000000"/>
            <w:u w:val="none"/>
            <w:shd w:val="clear" w:color="auto" w:fill="FFFFFF"/>
          </w:rPr>
          <w:t xml:space="preserve">Nghị định số 188/2013/NĐ-CP </w:t>
        </w:r>
        <w:r w:rsidRPr="00DE4343">
          <w:rPr>
            <w:color w:val="000000"/>
          </w:rPr>
          <w:t xml:space="preserve">ngày 20/11/2013 </w:t>
        </w:r>
        <w:r w:rsidRPr="00DE4343">
          <w:rPr>
            <w:rStyle w:val="Hyperlink"/>
            <w:color w:val="000000"/>
            <w:u w:val="none"/>
            <w:shd w:val="clear" w:color="auto" w:fill="FFFFFF"/>
          </w:rPr>
          <w:t>về phát triển và quản lý nhà ở xã hội</w:t>
        </w:r>
      </w:hyperlink>
      <w:r w:rsidRPr="00DE4343">
        <w:rPr>
          <w:color w:val="000000"/>
        </w:rPr>
        <w:t xml:space="preserve">. </w:t>
      </w:r>
    </w:p>
  </w:footnote>
  <w:footnote w:id="2">
    <w:p w:rsidR="00E11BC5" w:rsidRDefault="00E11BC5" w:rsidP="00D9236C">
      <w:pPr>
        <w:pStyle w:val="FootnoteText"/>
        <w:widowControl w:val="0"/>
        <w:spacing w:after="60"/>
        <w:ind w:firstLine="0"/>
      </w:pPr>
      <w:r w:rsidRPr="00A35DBB">
        <w:rPr>
          <w:rStyle w:val="FootnoteReference"/>
        </w:rPr>
        <w:footnoteRef/>
      </w:r>
      <w:r w:rsidRPr="00A35DBB">
        <w:t xml:space="preserve"> Điều 83 Nghị định số 99/2015/NĐ-CP quy định cụ thể như sau:</w:t>
      </w:r>
    </w:p>
    <w:p w:rsidR="00E11BC5" w:rsidRDefault="00E11BC5" w:rsidP="00D9236C">
      <w:pPr>
        <w:pStyle w:val="FootnoteText"/>
        <w:widowControl w:val="0"/>
        <w:spacing w:after="60"/>
        <w:ind w:firstLine="0"/>
        <w:rPr>
          <w:i/>
        </w:rPr>
      </w:pPr>
      <w:r w:rsidRPr="00A35DBB">
        <w:t>”</w:t>
      </w:r>
      <w:r w:rsidRPr="00A35DBB">
        <w:rPr>
          <w:i/>
        </w:rPr>
        <w:t>1. Đối với các tỉnh, thành phố trực thuộc Trung ương đã thành lập Quỹ phát triển nhà ở trước ngày Nghị định này có hiệu lực thi hành thì Quỹ phát triển nhà ở này tiếp tục được hoạt động theo Điều lệ hoạt động đã được UBND cấp tỉnh phê duyệt. Căn cứ vào điều kiện cụ thể của từng địa phương, UBND cấp tỉnh báo cáo Hội đồng nhân dân cùng cấp quyết định cấp kinh phí từ ngân sách địa phương cho Quỹ phát triển nhà ở để thực hiện cho vay phát triển nhà ở xã hội trên địa bàn.</w:t>
      </w:r>
    </w:p>
    <w:p w:rsidR="00E11BC5" w:rsidRDefault="00E11BC5" w:rsidP="00D9236C">
      <w:pPr>
        <w:pStyle w:val="FootnoteText"/>
        <w:widowControl w:val="0"/>
        <w:spacing w:after="60"/>
        <w:ind w:firstLine="0"/>
      </w:pPr>
      <w:r w:rsidRPr="00A35DBB">
        <w:rPr>
          <w:i/>
        </w:rPr>
        <w:t>2. Đối với các tỉnh, thành phố trực thuộc Trung ương chưa thành lập Quỹ phát triển nhà ở, nếu có nhu cầu thành lập Quỹ phát triển nhà ở thì báo cáo Thủ tướng Chính phủ xem xét, quyết định thành lập Quỹ phát triển nhà ở riêng hoặc ủy thác cho Quỹ đầu tư phát triển của địa phương quản lý Quỹ phát triển nhà ở.</w:t>
      </w:r>
      <w:r w:rsidRPr="00A35DBB">
        <w:t>"</w:t>
      </w:r>
    </w:p>
  </w:footnote>
  <w:footnote w:id="3">
    <w:p w:rsidR="00E11BC5" w:rsidRPr="0086270C" w:rsidRDefault="00E11BC5" w:rsidP="0086270C">
      <w:pPr>
        <w:pStyle w:val="FootnoteText"/>
        <w:ind w:firstLine="0"/>
      </w:pPr>
      <w:r w:rsidRPr="0086270C">
        <w:rPr>
          <w:rStyle w:val="FootnoteReference"/>
        </w:rPr>
        <w:footnoteRef/>
      </w:r>
      <w:r w:rsidRPr="0086270C">
        <w:t xml:space="preserve"> </w:t>
      </w:r>
      <w:r w:rsidRPr="0086270C">
        <w:rPr>
          <w:rFonts w:eastAsia="Times New Roman"/>
          <w:lang w:val="nl-NL"/>
        </w:rPr>
        <w:t>Nghị quyết số 33/NQ-CP ngày 11/3/2023 về một số giải pháp tháo gỡ và thúc đẩy thị trường bất động sản phát triển an toàn, lành mạnh, bền vững</w:t>
      </w:r>
    </w:p>
  </w:footnote>
  <w:footnote w:id="4">
    <w:p w:rsidR="00E11BC5" w:rsidRDefault="00E11BC5" w:rsidP="00893B24">
      <w:pPr>
        <w:pStyle w:val="FootnoteText"/>
        <w:spacing w:after="0"/>
        <w:ind w:firstLine="0"/>
      </w:pPr>
      <w:r>
        <w:rPr>
          <w:rStyle w:val="FootnoteReference"/>
        </w:rPr>
        <w:footnoteRef/>
      </w:r>
      <w:r>
        <w:t xml:space="preserve"> Như tỉnh Bắc Ninh 15 dự án, 6.000 căn; Bắc Giang 05 dự án, 12.475 căn; Hải Phòng 07 dự án, 11.678 căn; Bình Dương 07 dự án, 6.557 căn; Đồng Nai 08 dự án, 9.074 căn; Bình dương 07 dự án, 6.557 căn; Thanh Hóa 09 dự án, 4.948 căn...</w:t>
      </w:r>
    </w:p>
  </w:footnote>
  <w:footnote w:id="5">
    <w:p w:rsidR="00E11BC5" w:rsidRDefault="00E11BC5" w:rsidP="00893B24">
      <w:pPr>
        <w:pStyle w:val="FootnoteText"/>
        <w:spacing w:after="0"/>
        <w:ind w:firstLine="0"/>
      </w:pPr>
      <w:r>
        <w:rPr>
          <w:rStyle w:val="FootnoteReference"/>
        </w:rPr>
        <w:footnoteRef/>
      </w:r>
      <w:r>
        <w:t>Hà Nội 03 dự án, 1.700 căn đáp ứng 9%; TP.Hồ Chí Minh 07 dự án, 4.996 căn đáp ứng 19%; Đà Nẵng 05 dự án, 2.750 căn đáp ứng 43%;...</w:t>
      </w:r>
    </w:p>
  </w:footnote>
  <w:footnote w:id="6">
    <w:p w:rsidR="00E11BC5" w:rsidRDefault="00E11BC5" w:rsidP="00893B24">
      <w:pPr>
        <w:pStyle w:val="FootnoteText"/>
        <w:spacing w:after="0"/>
        <w:ind w:firstLine="0"/>
      </w:pPr>
      <w:r>
        <w:rPr>
          <w:rStyle w:val="FootnoteReference"/>
        </w:rPr>
        <w:footnoteRef/>
      </w:r>
      <w:r>
        <w:t xml:space="preserve"> Vĩnh Phúc, Ninh Bình, Nam Định, Long An, Quảng Ngãi,..)</w:t>
      </w:r>
    </w:p>
  </w:footnote>
  <w:footnote w:id="7">
    <w:p w:rsidR="00E11BC5" w:rsidRDefault="00E11BC5" w:rsidP="00893B24">
      <w:pPr>
        <w:pStyle w:val="FootnoteText"/>
        <w:spacing w:after="0"/>
        <w:ind w:firstLine="0"/>
      </w:pPr>
      <w:r>
        <w:rPr>
          <w:rStyle w:val="FootnoteReference"/>
        </w:rPr>
        <w:footnoteRef/>
      </w:r>
      <w:r>
        <w:t xml:space="preserve"> Đối với các quỹ tài chính tại địa phương, số liệu cấp nhật mới nhất theo báo cáo tài chính kiểm toán năm 2023 (ngày 31/12/2023)</w:t>
      </w:r>
    </w:p>
  </w:footnote>
  <w:footnote w:id="8">
    <w:p w:rsidR="00E11BC5" w:rsidRDefault="00E11BC5" w:rsidP="00F74312">
      <w:pPr>
        <w:pStyle w:val="FootnoteText"/>
        <w:ind w:firstLine="0"/>
      </w:pPr>
      <w:r>
        <w:rPr>
          <w:rStyle w:val="FootnoteReference"/>
        </w:rPr>
        <w:footnoteRef/>
      </w:r>
      <w:r>
        <w:t xml:space="preserve"> Bao gồm: (1). Người có công với cách mạng, thân nhân liệt sĩ thuộc trường hợp được hỗ trợ cải thiện nhà ở theo quy định của Pháp lệnh Ưu đãi người có công với cách mạng; (2) Hộ gia đình nghèo, cận nghèo tại khu vực nông thôn; (3) Hộ gia đình nghèo, cận nghèo tại khu vực nông thôn thuộc vùng thường xuyên bị ảnh hưởng bởi thiên tai, biến đổi khí hậu; (4) Hộ gia đình nghèo, cận nghèo tại khu vực đô thị; (5) Người thu nhập thấp tại khu vực đô thị; (6) Công nhân, người lao động đang làm việc tại doanh nghiệp, hợp tác xã, liên hiệp hợp tác xã trong và ngoài khu công nghiệp; (7)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(8). Cán bộ, công chức, viên chức theo quy định của pháp luật về cán bộ, công chức, viên chức.</w:t>
      </w:r>
    </w:p>
  </w:footnote>
  <w:footnote w:id="9">
    <w:p w:rsidR="00E11BC5" w:rsidRDefault="00E11BC5" w:rsidP="0001704E">
      <w:pPr>
        <w:pStyle w:val="FootnoteText"/>
        <w:spacing w:after="60"/>
        <w:ind w:firstLine="0"/>
      </w:pPr>
      <w:r>
        <w:rPr>
          <w:rStyle w:val="FootnoteReference"/>
        </w:rPr>
        <w:footnoteRef/>
      </w:r>
      <w:r>
        <w:t xml:space="preserve"> V</w:t>
      </w:r>
      <w:r w:rsidRPr="00C34414">
        <w:t>ăn bản số 6850/NHCS-TDSV ngày 01/11/2024</w:t>
      </w:r>
    </w:p>
  </w:footnote>
  <w:footnote w:id="10">
    <w:p w:rsidR="00E11BC5" w:rsidRDefault="00E11BC5" w:rsidP="0001704E">
      <w:pPr>
        <w:pStyle w:val="FootnoteText"/>
        <w:ind w:firstLine="0"/>
      </w:pPr>
      <w:r>
        <w:rPr>
          <w:rStyle w:val="FootnoteReference"/>
        </w:rPr>
        <w:footnoteRef/>
      </w:r>
      <w:r>
        <w:t xml:space="preserve"> Nghị quyết số 33/NQ-CP ngày 01/3/2023 của Chính phủ về giải pháp tháo gỡ và thúc đẩy thị trường bất động sản phát triển an toàn, lành mạnh, bền vững.</w:t>
      </w:r>
    </w:p>
  </w:footnote>
  <w:footnote w:id="11">
    <w:p w:rsidR="00E11BC5" w:rsidRDefault="00E11BC5" w:rsidP="0001704E">
      <w:pPr>
        <w:pStyle w:val="FootnoteText"/>
        <w:spacing w:after="60"/>
        <w:ind w:firstLine="0"/>
      </w:pPr>
      <w:r>
        <w:rPr>
          <w:rStyle w:val="FootnoteReference"/>
        </w:rPr>
        <w:footnoteRef/>
      </w:r>
      <w:r w:rsidRPr="00B600C9">
        <w:t xml:space="preserve"> Tại báo cáo tài chính đã kiểm toán năm 2023 của Quỹ phát triển nhà ở thành phố Hồ Chí Minh, tổng tài sản của Quỹ tính đến thời điểm 31/12/2023 là hơn 2.800 tỷ đồng. Hoạt động sử dụng vốn của Quỹ là hơn 1.835 tỷ đồng; trong đó, hoạt động đầu tư là 255 tỷ đồng và hoạt động cho vay chiếm chủ yếu đến 1.580 tỷ đồng. Lợi nhuận sau thuế năm 2023 của Quỹ đạt trên 52,4 tỷ đồng. </w:t>
      </w:r>
    </w:p>
  </w:footnote>
  <w:footnote w:id="12">
    <w:p w:rsidR="00E11BC5" w:rsidRDefault="00E11BC5" w:rsidP="0001704E">
      <w:pPr>
        <w:pStyle w:val="FootnoteText"/>
        <w:spacing w:after="60"/>
        <w:ind w:firstLine="0"/>
      </w:pPr>
      <w:r>
        <w:rPr>
          <w:rStyle w:val="FootnoteReference"/>
        </w:rPr>
        <w:footnoteRef/>
      </w:r>
      <w:r w:rsidRPr="00B600C9">
        <w:t xml:space="preserve"> Hầu hết các Quỹ phát triển nhà ở tại các địa phương này còn nhỏ với vốn điều lệ đều dưới 100 tỷ đồng.</w:t>
      </w:r>
    </w:p>
  </w:footnote>
  <w:footnote w:id="13">
    <w:p w:rsidR="00E11BC5" w:rsidRDefault="00E11BC5" w:rsidP="00564E94">
      <w:pPr>
        <w:pStyle w:val="FootnoteText"/>
        <w:ind w:firstLine="0"/>
      </w:pPr>
      <w:r>
        <w:rPr>
          <w:rStyle w:val="FootnoteReference"/>
        </w:rPr>
        <w:footnoteRef/>
      </w:r>
      <w:r>
        <w:t xml:space="preserve"> Vốn góp Chính phủ là 1,469 tỷ won, chiếm 62,8%, Vốn góp của Quỹ Nhà ở và Đô thị Quốc gia (National Housing and Urban Fund – Quỹ do Tổng công ty Bảo lãnh Nhà ở và Đô thị Hàn Quốc, trực thuộc Bộ Đất đai, Tài nguyên và Vận tải) là 106,6 tỷ won, chiếm 4,5%.</w:t>
      </w:r>
    </w:p>
  </w:footnote>
  <w:footnote w:id="14">
    <w:p w:rsidR="00E11BC5" w:rsidRDefault="00E11BC5" w:rsidP="00572A77">
      <w:pPr>
        <w:pStyle w:val="FootnoteText"/>
        <w:ind w:firstLine="0"/>
      </w:pPr>
      <w:r>
        <w:rPr>
          <w:rStyle w:val="FootnoteReference"/>
        </w:rPr>
        <w:footnoteRef/>
      </w:r>
      <w:r>
        <w:t xml:space="preserve"> Như </w:t>
      </w:r>
      <w:r w:rsidRPr="00B1121B">
        <w:t>Cơ quan tài chính nhà ở Nhật Bản (JHF)</w:t>
      </w:r>
      <w:r>
        <w:t xml:space="preserve">, </w:t>
      </w:r>
      <w:r w:rsidRPr="00331523">
        <w:t>Ngân hàng phát triển nhà ở Singapore (HDB)</w:t>
      </w:r>
      <w:r>
        <w:t>, Ngân hàng nhà ở Chính phủ Thái Lan (GHB), Công ty tài chính nhà ở quốc gia Philippines (NHMFC)</w:t>
      </w:r>
    </w:p>
  </w:footnote>
  <w:footnote w:id="15">
    <w:p w:rsidR="00E11BC5" w:rsidRDefault="00E11BC5" w:rsidP="00572A77">
      <w:pPr>
        <w:pStyle w:val="FootnoteText"/>
        <w:ind w:firstLine="0"/>
      </w:pPr>
      <w:r>
        <w:rPr>
          <w:rStyle w:val="FootnoteReference"/>
        </w:rPr>
        <w:footnoteRef/>
      </w:r>
      <w:r>
        <w:t xml:space="preserve"> Công ty tài chính nhà ở Hàn Quốc (HF), Ngân hàng phát triển nhà ở Singapore (HDB), Ngân hàng nhà ở Chính phủ Thái Lan (GHB), Công ty tài chính nhà ở quốc gia Philippines (NHMFC)</w:t>
      </w:r>
    </w:p>
  </w:footnote>
  <w:footnote w:id="16">
    <w:p w:rsidR="00E11BC5" w:rsidRDefault="00E11BC5" w:rsidP="00927776">
      <w:pPr>
        <w:pStyle w:val="FootnoteText"/>
        <w:ind w:firstLine="0"/>
      </w:pPr>
      <w:r>
        <w:rPr>
          <w:rStyle w:val="FootnoteReference"/>
        </w:rPr>
        <w:footnoteRef/>
      </w:r>
      <w:r>
        <w:t xml:space="preserve"> Công văn số 10545/NHNN-TD ngày 26/12/2024</w:t>
      </w:r>
    </w:p>
  </w:footnote>
  <w:footnote w:id="17">
    <w:p w:rsidR="00261DCB" w:rsidRDefault="00261DCB" w:rsidP="00261DCB">
      <w:pPr>
        <w:pStyle w:val="FootnoteText"/>
        <w:spacing w:after="0"/>
        <w:ind w:firstLine="0"/>
      </w:pPr>
      <w:r>
        <w:rPr>
          <w:rStyle w:val="FootnoteReference"/>
        </w:rPr>
        <w:footnoteRef/>
      </w:r>
      <w:r>
        <w:t xml:space="preserve"> Công văn số 4458/UBND-ĐT ngày 31/12/2024 của UBND TP Hà Nội, Công văn số 2281/STC-QLG ngày 23/12/2024 của Bắc Ninh và Công văn số 3808/STC-QLNS ngày 30/12/2024 của Bắc Giang</w:t>
      </w:r>
    </w:p>
  </w:footnote>
  <w:footnote w:id="18">
    <w:p w:rsidR="00E11BC5" w:rsidRDefault="00E11BC5" w:rsidP="00EF1469">
      <w:pPr>
        <w:pStyle w:val="FootnoteText"/>
        <w:ind w:firstLine="0"/>
      </w:pPr>
      <w:r>
        <w:rPr>
          <w:rStyle w:val="FootnoteReference"/>
        </w:rPr>
        <w:footnoteRef/>
      </w:r>
      <w:r>
        <w:t xml:space="preserve"> </w:t>
      </w:r>
      <w:r w:rsidRPr="00DE7C5B">
        <w:rPr>
          <w:bCs/>
          <w:lang w:val="en-GB"/>
        </w:rPr>
        <w:t xml:space="preserve">Khoản 2 Điều 5 Nghị định 100/2015/NĐ-CP quy định: </w:t>
      </w:r>
      <w:r w:rsidRPr="00DE7C5B">
        <w:rPr>
          <w:bCs/>
          <w:i/>
          <w:lang w:val="en-GB"/>
        </w:rPr>
        <w:t xml:space="preserve">“Trường hợp dự án phát triển nhà ở thương mại, dự án đầu tư phát triển đô thị có quy mô sử dụng đất dưới 10ha thì chủ đầu tư dự án được lựa chọn hình thức … hoặc nộp bằng tiền tương đương giá trị quỹ đất 20% theo giá đất mà chủ đầu tư thực hiện nghĩa vụ với Nhà nước nhằm </w:t>
      </w:r>
      <w:r w:rsidRPr="00DE7C5B">
        <w:rPr>
          <w:bCs/>
          <w:i/>
          <w:u w:val="single"/>
          <w:lang w:val="en-GB"/>
        </w:rPr>
        <w:t>bổ sung vào ngân sách địa phương dành để đầu tư xây dựng nhà ở xã hội trên phạm vi địa bàn</w:t>
      </w:r>
      <w:r w:rsidRPr="00DE7C5B">
        <w:rPr>
          <w:bCs/>
          <w:i/>
          <w:lang w:val="en-GB"/>
        </w:rPr>
        <w:t>”.</w:t>
      </w:r>
      <w:r w:rsidRPr="00DE7C5B">
        <w:rPr>
          <w:bCs/>
          <w:lang w:val="en-GB"/>
        </w:rPr>
        <w:t xml:space="preserve"> Khoản 4 Điều 1 Nghị định 49/2021/NĐ-CP ngày 01/04/2021 của Chính phủ sửa đổi bổ sung Nghị định 100/2015/NĐ-CP quy định: </w:t>
      </w:r>
      <w:r w:rsidRPr="00DE7C5B">
        <w:rPr>
          <w:bCs/>
          <w:i/>
          <w:lang w:val="en-GB"/>
        </w:rPr>
        <w:t xml:space="preserve">“Đối với trường hợp thuộc diện phải bố trí quỹ đất 20% để xây dựng nhà ở xã hội theo quy định nhưng do có sự thay đổi quy hoạch chung, … Thực hiện việc giao đất, cho thuê đất và xác định giá trị tiền sử dụng đất phải nộp đối với quỹ đất 20% tại dự án theo đúng quy định của pháp luật về đất đai và pháp luật có liên quan; </w:t>
      </w:r>
      <w:r w:rsidRPr="00DE7C5B">
        <w:rPr>
          <w:bCs/>
          <w:i/>
          <w:u w:val="single"/>
          <w:lang w:val="en-GB"/>
        </w:rPr>
        <w:t>số tiền thu được phải bổ sung vào ngân sách địa phương dành để đầu tư xây dựng nhà ở xã hội trên phạm vi địa bàn</w:t>
      </w:r>
      <w:r w:rsidRPr="00DE7C5B">
        <w:rPr>
          <w:bCs/>
          <w:i/>
          <w:lang w:val="en-GB"/>
        </w:rPr>
        <w:t>”.</w:t>
      </w:r>
    </w:p>
  </w:footnote>
  <w:footnote w:id="19">
    <w:p w:rsidR="00E11BC5" w:rsidRPr="00D863EC" w:rsidRDefault="00E11BC5" w:rsidP="00DB521F">
      <w:pPr>
        <w:pStyle w:val="FootnoteText"/>
        <w:ind w:firstLine="0"/>
      </w:pPr>
      <w:r w:rsidRPr="00D863EC">
        <w:rPr>
          <w:rStyle w:val="FootnoteReference"/>
        </w:rPr>
        <w:footnoteRef/>
      </w:r>
      <w:r w:rsidRPr="00D863EC">
        <w:t xml:space="preserve"> </w:t>
      </w:r>
      <w:r w:rsidRPr="00C83C95">
        <w:rPr>
          <w:rFonts w:eastAsia="Calibri"/>
          <w:lang w:val="es-ES"/>
        </w:rPr>
        <w:t>T</w:t>
      </w:r>
      <w:r w:rsidRPr="00C83C95">
        <w:rPr>
          <w:rFonts w:eastAsia="Times New Roman"/>
          <w:lang w:val="nb-NO"/>
        </w:rPr>
        <w:t xml:space="preserve">ại Nghị quyết số 07-NQ/TW </w:t>
      </w:r>
      <w:r w:rsidRPr="00C83C95">
        <w:rPr>
          <w:rFonts w:eastAsia="Times New Roman"/>
          <w:bCs/>
          <w:color w:val="000000"/>
          <w:lang w:val="es-NI"/>
        </w:rPr>
        <w:t xml:space="preserve">ngày 18/11/2016 của Bộ Chính trị về chủ trương, giải pháp cơ cấu lại ngân sách nhà nước và quản lý nợ công để bảo đảm nền tài chính quốc gia an toàn, bền vững, Bộ Chính trị đã chỉ đạo </w:t>
      </w:r>
      <w:r w:rsidRPr="00C83C95">
        <w:rPr>
          <w:rFonts w:eastAsia="Times New Roman"/>
          <w:i/>
          <w:color w:val="000000"/>
          <w:u w:val="single"/>
          <w:lang w:val="es-NI"/>
        </w:rPr>
        <w:t xml:space="preserve">khống chế hạn mức phát hành trái phiếu được Chính phủ bảo lãnh của NHCSXH </w:t>
      </w:r>
      <w:r w:rsidRPr="00C83C95">
        <w:rPr>
          <w:rFonts w:eastAsia="Times New Roman"/>
          <w:b/>
          <w:i/>
          <w:color w:val="000000"/>
          <w:u w:val="single"/>
          <w:lang w:val="es-NI"/>
        </w:rPr>
        <w:t>tối đa bằng nợ gốc trái phiếu đến hạn trong năm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C5" w:rsidRDefault="00F549F6">
    <w:pPr>
      <w:pStyle w:val="Header"/>
      <w:jc w:val="center"/>
    </w:pPr>
    <w:r>
      <w:fldChar w:fldCharType="begin"/>
    </w:r>
    <w:r w:rsidR="00893B24">
      <w:instrText xml:space="preserve"> PAGE   \* MERGEFORMAT </w:instrText>
    </w:r>
    <w:r>
      <w:fldChar w:fldCharType="separate"/>
    </w:r>
    <w:r w:rsidR="00E73730">
      <w:t>25</w:t>
    </w:r>
    <w:r>
      <w:fldChar w:fldCharType="end"/>
    </w:r>
  </w:p>
  <w:p w:rsidR="00E11BC5" w:rsidRDefault="00E11B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F3579"/>
    <w:multiLevelType w:val="hybridMultilevel"/>
    <w:tmpl w:val="3454DB5C"/>
    <w:lvl w:ilvl="0" w:tplc="936C31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370FF0"/>
    <w:multiLevelType w:val="hybridMultilevel"/>
    <w:tmpl w:val="E6B67FE4"/>
    <w:lvl w:ilvl="0" w:tplc="8B326512">
      <w:start w:val="1"/>
      <w:numFmt w:val="lowerRoman"/>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95205B"/>
    <w:multiLevelType w:val="hybridMultilevel"/>
    <w:tmpl w:val="F1108D98"/>
    <w:lvl w:ilvl="0" w:tplc="20EEAD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BE700B"/>
    <w:multiLevelType w:val="hybridMultilevel"/>
    <w:tmpl w:val="B67A1F02"/>
    <w:lvl w:ilvl="0" w:tplc="033A2D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BF787B"/>
    <w:multiLevelType w:val="hybridMultilevel"/>
    <w:tmpl w:val="3DA2BB5C"/>
    <w:lvl w:ilvl="0" w:tplc="56CE78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0A00F0"/>
    <w:multiLevelType w:val="hybridMultilevel"/>
    <w:tmpl w:val="8620FD52"/>
    <w:lvl w:ilvl="0" w:tplc="F9FE16B6">
      <w:start w:val="1"/>
      <w:numFmt w:val="decimal"/>
      <w:lvlText w:val="%1."/>
      <w:lvlJc w:val="left"/>
      <w:pPr>
        <w:ind w:left="1759" w:hanging="105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hideGrammaticalErrors/>
  <w:defaultTabStop w:val="720"/>
  <w:characterSpacingControl w:val="doNotCompress"/>
  <w:footnotePr>
    <w:footnote w:id="-1"/>
    <w:footnote w:id="0"/>
  </w:footnotePr>
  <w:endnotePr>
    <w:endnote w:id="-1"/>
    <w:endnote w:id="0"/>
  </w:endnotePr>
  <w:compat/>
  <w:rsids>
    <w:rsidRoot w:val="0055701D"/>
    <w:rsid w:val="000014AE"/>
    <w:rsid w:val="0001704E"/>
    <w:rsid w:val="0001789D"/>
    <w:rsid w:val="000254C5"/>
    <w:rsid w:val="00025A42"/>
    <w:rsid w:val="000304EC"/>
    <w:rsid w:val="000607D4"/>
    <w:rsid w:val="00083F4D"/>
    <w:rsid w:val="00084A35"/>
    <w:rsid w:val="000908A1"/>
    <w:rsid w:val="000B4F3B"/>
    <w:rsid w:val="000E4D78"/>
    <w:rsid w:val="00110804"/>
    <w:rsid w:val="0011778C"/>
    <w:rsid w:val="00130846"/>
    <w:rsid w:val="00144134"/>
    <w:rsid w:val="0017307D"/>
    <w:rsid w:val="001D0A62"/>
    <w:rsid w:val="001D3791"/>
    <w:rsid w:val="00205A85"/>
    <w:rsid w:val="00213257"/>
    <w:rsid w:val="0021746A"/>
    <w:rsid w:val="00221246"/>
    <w:rsid w:val="0022683B"/>
    <w:rsid w:val="00242F15"/>
    <w:rsid w:val="002532E6"/>
    <w:rsid w:val="00261DCB"/>
    <w:rsid w:val="00283965"/>
    <w:rsid w:val="002950C6"/>
    <w:rsid w:val="002A44F1"/>
    <w:rsid w:val="002C102F"/>
    <w:rsid w:val="002E0ADD"/>
    <w:rsid w:val="002F3626"/>
    <w:rsid w:val="003144D6"/>
    <w:rsid w:val="0033012E"/>
    <w:rsid w:val="003745BB"/>
    <w:rsid w:val="003859E4"/>
    <w:rsid w:val="003A24ED"/>
    <w:rsid w:val="003A47E2"/>
    <w:rsid w:val="003B000A"/>
    <w:rsid w:val="003F26BA"/>
    <w:rsid w:val="003F2BF3"/>
    <w:rsid w:val="004221D0"/>
    <w:rsid w:val="004227DC"/>
    <w:rsid w:val="00424A2D"/>
    <w:rsid w:val="004368BA"/>
    <w:rsid w:val="00450BC8"/>
    <w:rsid w:val="00452797"/>
    <w:rsid w:val="004531E1"/>
    <w:rsid w:val="004939A9"/>
    <w:rsid w:val="004A542D"/>
    <w:rsid w:val="004B15D8"/>
    <w:rsid w:val="004C5364"/>
    <w:rsid w:val="004C62AF"/>
    <w:rsid w:val="004D4037"/>
    <w:rsid w:val="00501C1B"/>
    <w:rsid w:val="005023C9"/>
    <w:rsid w:val="00511ADD"/>
    <w:rsid w:val="0055701D"/>
    <w:rsid w:val="00564E94"/>
    <w:rsid w:val="00571C5B"/>
    <w:rsid w:val="00572A77"/>
    <w:rsid w:val="00573F6F"/>
    <w:rsid w:val="00574F26"/>
    <w:rsid w:val="00581B5E"/>
    <w:rsid w:val="005862F8"/>
    <w:rsid w:val="005958D9"/>
    <w:rsid w:val="005B2189"/>
    <w:rsid w:val="005E17E6"/>
    <w:rsid w:val="005F2650"/>
    <w:rsid w:val="00601684"/>
    <w:rsid w:val="0060785F"/>
    <w:rsid w:val="006169C4"/>
    <w:rsid w:val="0062548D"/>
    <w:rsid w:val="0065087E"/>
    <w:rsid w:val="006824BB"/>
    <w:rsid w:val="00684B67"/>
    <w:rsid w:val="00690E37"/>
    <w:rsid w:val="006911E0"/>
    <w:rsid w:val="006A2222"/>
    <w:rsid w:val="006B2E57"/>
    <w:rsid w:val="006C1048"/>
    <w:rsid w:val="006D75D6"/>
    <w:rsid w:val="006E3BFA"/>
    <w:rsid w:val="006F10C2"/>
    <w:rsid w:val="006F2418"/>
    <w:rsid w:val="00701C1B"/>
    <w:rsid w:val="007316D2"/>
    <w:rsid w:val="00752CC4"/>
    <w:rsid w:val="00754307"/>
    <w:rsid w:val="007603F0"/>
    <w:rsid w:val="00760B71"/>
    <w:rsid w:val="00791690"/>
    <w:rsid w:val="00793518"/>
    <w:rsid w:val="00797B85"/>
    <w:rsid w:val="007A0028"/>
    <w:rsid w:val="007B7A34"/>
    <w:rsid w:val="00804D33"/>
    <w:rsid w:val="0081216D"/>
    <w:rsid w:val="00816BCC"/>
    <w:rsid w:val="008170BB"/>
    <w:rsid w:val="0083391A"/>
    <w:rsid w:val="00842562"/>
    <w:rsid w:val="008451AD"/>
    <w:rsid w:val="0086270C"/>
    <w:rsid w:val="008646CA"/>
    <w:rsid w:val="008737C4"/>
    <w:rsid w:val="00874527"/>
    <w:rsid w:val="00880B02"/>
    <w:rsid w:val="008854D5"/>
    <w:rsid w:val="0089187D"/>
    <w:rsid w:val="00893B24"/>
    <w:rsid w:val="00896898"/>
    <w:rsid w:val="008A189C"/>
    <w:rsid w:val="008A26FA"/>
    <w:rsid w:val="008B646D"/>
    <w:rsid w:val="008C38A6"/>
    <w:rsid w:val="008E2007"/>
    <w:rsid w:val="00900946"/>
    <w:rsid w:val="00906621"/>
    <w:rsid w:val="0091032A"/>
    <w:rsid w:val="00925CA9"/>
    <w:rsid w:val="00927776"/>
    <w:rsid w:val="00933FDC"/>
    <w:rsid w:val="00942B30"/>
    <w:rsid w:val="00961C04"/>
    <w:rsid w:val="00972463"/>
    <w:rsid w:val="009B46BD"/>
    <w:rsid w:val="009C4499"/>
    <w:rsid w:val="009D5F9A"/>
    <w:rsid w:val="009F6DD1"/>
    <w:rsid w:val="00A2572A"/>
    <w:rsid w:val="00A27EBF"/>
    <w:rsid w:val="00A6106C"/>
    <w:rsid w:val="00A7393D"/>
    <w:rsid w:val="00A90042"/>
    <w:rsid w:val="00A9285D"/>
    <w:rsid w:val="00AA0004"/>
    <w:rsid w:val="00AA384F"/>
    <w:rsid w:val="00AD388E"/>
    <w:rsid w:val="00AD43DB"/>
    <w:rsid w:val="00AD59FB"/>
    <w:rsid w:val="00AE4734"/>
    <w:rsid w:val="00AF0B05"/>
    <w:rsid w:val="00B2373F"/>
    <w:rsid w:val="00B37E51"/>
    <w:rsid w:val="00B44A90"/>
    <w:rsid w:val="00B5341F"/>
    <w:rsid w:val="00BB5A6D"/>
    <w:rsid w:val="00BF1305"/>
    <w:rsid w:val="00C0403A"/>
    <w:rsid w:val="00C04D59"/>
    <w:rsid w:val="00C224E5"/>
    <w:rsid w:val="00C3351E"/>
    <w:rsid w:val="00C345D0"/>
    <w:rsid w:val="00C367DA"/>
    <w:rsid w:val="00C37874"/>
    <w:rsid w:val="00C5783C"/>
    <w:rsid w:val="00C6189D"/>
    <w:rsid w:val="00C81B8C"/>
    <w:rsid w:val="00CA2CE5"/>
    <w:rsid w:val="00CB04EA"/>
    <w:rsid w:val="00CB33ED"/>
    <w:rsid w:val="00CB7213"/>
    <w:rsid w:val="00CC1C48"/>
    <w:rsid w:val="00CD1805"/>
    <w:rsid w:val="00CE1A15"/>
    <w:rsid w:val="00CE305D"/>
    <w:rsid w:val="00CE5067"/>
    <w:rsid w:val="00D11A21"/>
    <w:rsid w:val="00D30B69"/>
    <w:rsid w:val="00D37ADD"/>
    <w:rsid w:val="00D576E3"/>
    <w:rsid w:val="00D57991"/>
    <w:rsid w:val="00D76582"/>
    <w:rsid w:val="00D845E7"/>
    <w:rsid w:val="00D9236C"/>
    <w:rsid w:val="00DB521F"/>
    <w:rsid w:val="00DB7FA7"/>
    <w:rsid w:val="00DC2DC8"/>
    <w:rsid w:val="00DC4979"/>
    <w:rsid w:val="00DC77C7"/>
    <w:rsid w:val="00DD0BB6"/>
    <w:rsid w:val="00DD0BB9"/>
    <w:rsid w:val="00DD1C1D"/>
    <w:rsid w:val="00DE4343"/>
    <w:rsid w:val="00E00BD5"/>
    <w:rsid w:val="00E118BE"/>
    <w:rsid w:val="00E11BC5"/>
    <w:rsid w:val="00E131C4"/>
    <w:rsid w:val="00E2267D"/>
    <w:rsid w:val="00E33D7C"/>
    <w:rsid w:val="00E623AA"/>
    <w:rsid w:val="00E720A3"/>
    <w:rsid w:val="00E72B05"/>
    <w:rsid w:val="00E73730"/>
    <w:rsid w:val="00E9342B"/>
    <w:rsid w:val="00EA41DF"/>
    <w:rsid w:val="00EB1B4E"/>
    <w:rsid w:val="00EB5330"/>
    <w:rsid w:val="00ED1B19"/>
    <w:rsid w:val="00ED4A68"/>
    <w:rsid w:val="00EE4188"/>
    <w:rsid w:val="00EF1469"/>
    <w:rsid w:val="00F40B62"/>
    <w:rsid w:val="00F4131A"/>
    <w:rsid w:val="00F41FFF"/>
    <w:rsid w:val="00F549F6"/>
    <w:rsid w:val="00F56F88"/>
    <w:rsid w:val="00F74312"/>
    <w:rsid w:val="00F74B75"/>
    <w:rsid w:val="00F849FE"/>
    <w:rsid w:val="00F858D4"/>
    <w:rsid w:val="00FB0764"/>
    <w:rsid w:val="00FF5467"/>
    <w:rsid w:val="00FF7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1D"/>
    <w:pPr>
      <w:spacing w:after="0" w:line="240" w:lineRule="auto"/>
    </w:pPr>
    <w:rPr>
      <w:rFonts w:ascii="Times New Roman" w:eastAsia="Times New Roman" w:hAnsi="Times New Roman" w:cs="Times New Roman"/>
      <w:noProof/>
      <w:kern w:val="0"/>
      <w:sz w:val="28"/>
      <w:szCs w:val="28"/>
      <w:lang w:val="pl-PL"/>
    </w:rPr>
  </w:style>
  <w:style w:type="paragraph" w:styleId="Heading1">
    <w:name w:val="heading 1"/>
    <w:basedOn w:val="Normal"/>
    <w:next w:val="Normal"/>
    <w:link w:val="Heading1Char"/>
    <w:qFormat/>
    <w:rsid w:val="00FF73CB"/>
    <w:pPr>
      <w:keepNext/>
      <w:keepLines/>
      <w:spacing w:before="80" w:after="80" w:line="252" w:lineRule="auto"/>
      <w:ind w:firstLine="720"/>
      <w:jc w:val="both"/>
      <w:outlineLvl w:val="0"/>
    </w:pPr>
    <w:rPr>
      <w:rFonts w:eastAsiaTheme="majorEastAsia"/>
      <w:b/>
      <w:color w:val="0F4761" w:themeColor="accent1" w:themeShade="BF"/>
      <w:lang w:val="nl-NL"/>
    </w:rPr>
  </w:style>
  <w:style w:type="paragraph" w:styleId="Heading2">
    <w:name w:val="heading 2"/>
    <w:basedOn w:val="Normal"/>
    <w:next w:val="Normal"/>
    <w:link w:val="Heading2Char"/>
    <w:uiPriority w:val="9"/>
    <w:unhideWhenUsed/>
    <w:qFormat/>
    <w:rsid w:val="002532E6"/>
    <w:pPr>
      <w:widowControl w:val="0"/>
      <w:spacing w:before="120" w:after="120" w:line="360" w:lineRule="exact"/>
      <w:ind w:firstLine="720"/>
      <w:jc w:val="both"/>
      <w:outlineLvl w:val="1"/>
    </w:pPr>
    <w:rPr>
      <w:b/>
      <w:lang w:val="nl-NL"/>
    </w:rPr>
  </w:style>
  <w:style w:type="paragraph" w:styleId="Heading3">
    <w:name w:val="heading 3"/>
    <w:basedOn w:val="Normal"/>
    <w:next w:val="Normal"/>
    <w:link w:val="Heading3Char"/>
    <w:uiPriority w:val="9"/>
    <w:unhideWhenUsed/>
    <w:qFormat/>
    <w:rsid w:val="002532E6"/>
    <w:pPr>
      <w:widowControl w:val="0"/>
      <w:spacing w:before="120" w:after="120" w:line="360" w:lineRule="exact"/>
      <w:ind w:firstLine="720"/>
      <w:jc w:val="both"/>
      <w:outlineLvl w:val="2"/>
    </w:pPr>
    <w:rPr>
      <w:b/>
      <w:i/>
      <w:lang w:val="nl-NL"/>
    </w:rPr>
  </w:style>
  <w:style w:type="paragraph" w:styleId="Heading4">
    <w:name w:val="heading 4"/>
    <w:basedOn w:val="Normal"/>
    <w:next w:val="Normal"/>
    <w:link w:val="Heading4Char"/>
    <w:uiPriority w:val="9"/>
    <w:semiHidden/>
    <w:unhideWhenUsed/>
    <w:qFormat/>
    <w:rsid w:val="00557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0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570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0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0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3CB"/>
    <w:rPr>
      <w:rFonts w:ascii="Times New Roman" w:eastAsiaTheme="majorEastAsia" w:hAnsi="Times New Roman" w:cs="Times New Roman"/>
      <w:b/>
      <w:noProof/>
      <w:color w:val="0F4761" w:themeColor="accent1" w:themeShade="BF"/>
      <w:kern w:val="0"/>
      <w:sz w:val="28"/>
      <w:szCs w:val="28"/>
      <w:lang w:val="nl-NL"/>
    </w:rPr>
  </w:style>
  <w:style w:type="character" w:customStyle="1" w:styleId="Heading2Char">
    <w:name w:val="Heading 2 Char"/>
    <w:basedOn w:val="DefaultParagraphFont"/>
    <w:link w:val="Heading2"/>
    <w:uiPriority w:val="9"/>
    <w:rsid w:val="002532E6"/>
    <w:rPr>
      <w:rFonts w:ascii="Times New Roman" w:eastAsia="Times New Roman" w:hAnsi="Times New Roman" w:cs="Times New Roman"/>
      <w:b/>
      <w:noProof/>
      <w:kern w:val="0"/>
      <w:sz w:val="28"/>
      <w:szCs w:val="28"/>
      <w:lang w:val="nl-NL"/>
    </w:rPr>
  </w:style>
  <w:style w:type="character" w:customStyle="1" w:styleId="Heading3Char">
    <w:name w:val="Heading 3 Char"/>
    <w:basedOn w:val="DefaultParagraphFont"/>
    <w:link w:val="Heading3"/>
    <w:uiPriority w:val="9"/>
    <w:rsid w:val="002532E6"/>
    <w:rPr>
      <w:rFonts w:ascii="Times New Roman" w:eastAsia="Times New Roman" w:hAnsi="Times New Roman" w:cs="Times New Roman"/>
      <w:b/>
      <w:i/>
      <w:noProof/>
      <w:kern w:val="0"/>
      <w:sz w:val="28"/>
      <w:szCs w:val="28"/>
      <w:lang w:val="nl-NL"/>
    </w:rPr>
  </w:style>
  <w:style w:type="character" w:customStyle="1" w:styleId="Heading4Char">
    <w:name w:val="Heading 4 Char"/>
    <w:basedOn w:val="DefaultParagraphFont"/>
    <w:link w:val="Heading4"/>
    <w:uiPriority w:val="9"/>
    <w:semiHidden/>
    <w:rsid w:val="00557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01D"/>
    <w:rPr>
      <w:rFonts w:eastAsiaTheme="majorEastAsia" w:cstheme="majorBidi"/>
      <w:i/>
      <w:iCs/>
      <w:color w:val="595959" w:themeColor="text1" w:themeTint="A6"/>
    </w:rPr>
  </w:style>
  <w:style w:type="character" w:customStyle="1" w:styleId="Heading7Char">
    <w:name w:val="Heading 7 Char"/>
    <w:basedOn w:val="DefaultParagraphFont"/>
    <w:link w:val="Heading7"/>
    <w:rsid w:val="00557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01D"/>
    <w:rPr>
      <w:rFonts w:eastAsiaTheme="majorEastAsia" w:cstheme="majorBidi"/>
      <w:color w:val="272727" w:themeColor="text1" w:themeTint="D8"/>
    </w:rPr>
  </w:style>
  <w:style w:type="paragraph" w:styleId="Title">
    <w:name w:val="Title"/>
    <w:basedOn w:val="Normal"/>
    <w:next w:val="Normal"/>
    <w:link w:val="TitleChar"/>
    <w:uiPriority w:val="10"/>
    <w:qFormat/>
    <w:rsid w:val="005570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01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57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01D"/>
    <w:pPr>
      <w:spacing w:before="160"/>
      <w:jc w:val="center"/>
    </w:pPr>
    <w:rPr>
      <w:i/>
      <w:iCs/>
      <w:color w:val="404040" w:themeColor="text1" w:themeTint="BF"/>
    </w:rPr>
  </w:style>
  <w:style w:type="character" w:customStyle="1" w:styleId="QuoteChar">
    <w:name w:val="Quote Char"/>
    <w:basedOn w:val="DefaultParagraphFont"/>
    <w:link w:val="Quote"/>
    <w:uiPriority w:val="29"/>
    <w:rsid w:val="0055701D"/>
    <w:rPr>
      <w:i/>
      <w:iCs/>
      <w:color w:val="404040" w:themeColor="text1" w:themeTint="BF"/>
    </w:rPr>
  </w:style>
  <w:style w:type="paragraph" w:styleId="ListParagraph">
    <w:name w:val="List Paragraph"/>
    <w:basedOn w:val="Normal"/>
    <w:uiPriority w:val="34"/>
    <w:qFormat/>
    <w:rsid w:val="0055701D"/>
    <w:pPr>
      <w:ind w:left="720"/>
      <w:contextualSpacing/>
    </w:pPr>
  </w:style>
  <w:style w:type="character" w:styleId="IntenseEmphasis">
    <w:name w:val="Intense Emphasis"/>
    <w:basedOn w:val="DefaultParagraphFont"/>
    <w:uiPriority w:val="21"/>
    <w:qFormat/>
    <w:rsid w:val="0055701D"/>
    <w:rPr>
      <w:i/>
      <w:iCs/>
      <w:color w:val="0F4761" w:themeColor="accent1" w:themeShade="BF"/>
    </w:rPr>
  </w:style>
  <w:style w:type="paragraph" w:styleId="IntenseQuote">
    <w:name w:val="Intense Quote"/>
    <w:basedOn w:val="Normal"/>
    <w:next w:val="Normal"/>
    <w:link w:val="IntenseQuoteChar"/>
    <w:uiPriority w:val="30"/>
    <w:qFormat/>
    <w:rsid w:val="00557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01D"/>
    <w:rPr>
      <w:i/>
      <w:iCs/>
      <w:color w:val="0F4761" w:themeColor="accent1" w:themeShade="BF"/>
    </w:rPr>
  </w:style>
  <w:style w:type="character" w:styleId="IntenseReference">
    <w:name w:val="Intense Reference"/>
    <w:basedOn w:val="DefaultParagraphFont"/>
    <w:uiPriority w:val="32"/>
    <w:qFormat/>
    <w:rsid w:val="0055701D"/>
    <w:rPr>
      <w:b/>
      <w:bCs/>
      <w:smallCaps/>
      <w:color w:val="0F4761" w:themeColor="accent1" w:themeShade="BF"/>
      <w:spacing w:val="5"/>
    </w:rPr>
  </w:style>
  <w:style w:type="character" w:styleId="PageNumber">
    <w:name w:val="page number"/>
    <w:basedOn w:val="DefaultParagraphFont"/>
    <w:rsid w:val="0055701D"/>
  </w:style>
  <w:style w:type="paragraph" w:styleId="Footer">
    <w:name w:val="footer"/>
    <w:basedOn w:val="Normal"/>
    <w:link w:val="FooterChar"/>
    <w:uiPriority w:val="99"/>
    <w:rsid w:val="0055701D"/>
    <w:pPr>
      <w:tabs>
        <w:tab w:val="center" w:pos="4320"/>
        <w:tab w:val="right" w:pos="8640"/>
      </w:tabs>
    </w:pPr>
  </w:style>
  <w:style w:type="character" w:customStyle="1" w:styleId="FooterChar">
    <w:name w:val="Footer Char"/>
    <w:basedOn w:val="DefaultParagraphFont"/>
    <w:link w:val="Footer"/>
    <w:uiPriority w:val="99"/>
    <w:rsid w:val="0055701D"/>
    <w:rPr>
      <w:rFonts w:ascii="Times New Roman" w:eastAsia="Times New Roman" w:hAnsi="Times New Roman" w:cs="Times New Roman"/>
      <w:noProof/>
      <w:kern w:val="0"/>
      <w:sz w:val="28"/>
      <w:szCs w:val="28"/>
      <w:lang w:val="pl-PL"/>
    </w:rPr>
  </w:style>
  <w:style w:type="paragraph" w:styleId="Header">
    <w:name w:val="header"/>
    <w:basedOn w:val="Normal"/>
    <w:link w:val="HeaderChar"/>
    <w:uiPriority w:val="99"/>
    <w:rsid w:val="0055701D"/>
    <w:pPr>
      <w:tabs>
        <w:tab w:val="center" w:pos="4513"/>
        <w:tab w:val="right" w:pos="9026"/>
      </w:tabs>
    </w:pPr>
  </w:style>
  <w:style w:type="character" w:customStyle="1" w:styleId="HeaderChar">
    <w:name w:val="Header Char"/>
    <w:basedOn w:val="DefaultParagraphFont"/>
    <w:link w:val="Header"/>
    <w:uiPriority w:val="99"/>
    <w:rsid w:val="0055701D"/>
    <w:rPr>
      <w:rFonts w:ascii="Times New Roman" w:eastAsia="Times New Roman" w:hAnsi="Times New Roman" w:cs="Times New Roman"/>
      <w:noProof/>
      <w:kern w:val="0"/>
      <w:sz w:val="28"/>
      <w:szCs w:val="28"/>
      <w:lang w:val="pl-PL"/>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 Char9,Char9,C,A"/>
    <w:basedOn w:val="Normal"/>
    <w:link w:val="FootnoteTextChar"/>
    <w:uiPriority w:val="99"/>
    <w:unhideWhenUsed/>
    <w:qFormat/>
    <w:rsid w:val="0055701D"/>
    <w:pPr>
      <w:spacing w:after="120"/>
      <w:ind w:firstLine="731"/>
      <w:jc w:val="both"/>
    </w:pPr>
    <w:rPr>
      <w:rFonts w:eastAsia="Arial"/>
      <w:noProof w:val="0"/>
      <w:sz w:val="20"/>
      <w:szCs w:val="20"/>
      <w:lang w:val="en-US"/>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basedOn w:val="DefaultParagraphFont"/>
    <w:link w:val="FootnoteText"/>
    <w:uiPriority w:val="99"/>
    <w:qFormat/>
    <w:rsid w:val="0055701D"/>
    <w:rPr>
      <w:rFonts w:ascii="Times New Roman" w:eastAsia="Arial" w:hAnsi="Times New Roman" w:cs="Times New Roman"/>
      <w:kern w:val="0"/>
      <w:sz w:val="20"/>
      <w:szCs w:val="20"/>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nhideWhenUsed/>
    <w:qFormat/>
    <w:rsid w:val="0055701D"/>
    <w:rPr>
      <w:vertAlign w:val="superscript"/>
    </w:rPr>
  </w:style>
  <w:style w:type="character" w:customStyle="1" w:styleId="Vnbnnidung">
    <w:name w:val="Văn bản nội dung_"/>
    <w:link w:val="Vnbnnidung0"/>
    <w:uiPriority w:val="99"/>
    <w:rsid w:val="0055701D"/>
  </w:style>
  <w:style w:type="paragraph" w:customStyle="1" w:styleId="Vnbnnidung0">
    <w:name w:val="Văn bản nội dung"/>
    <w:basedOn w:val="Normal"/>
    <w:link w:val="Vnbnnidung"/>
    <w:uiPriority w:val="99"/>
    <w:rsid w:val="0055701D"/>
    <w:pPr>
      <w:widowControl w:val="0"/>
      <w:spacing w:after="180" w:line="271" w:lineRule="auto"/>
      <w:ind w:firstLine="400"/>
    </w:pPr>
    <w:rPr>
      <w:rFonts w:asciiTheme="minorHAnsi" w:eastAsiaTheme="minorHAnsi" w:hAnsiTheme="minorHAnsi" w:cstheme="minorBidi"/>
      <w:noProof w:val="0"/>
      <w:kern w:val="2"/>
      <w:sz w:val="22"/>
      <w:szCs w:val="22"/>
      <w:lang w:val="en-US"/>
    </w:rPr>
  </w:style>
  <w:style w:type="paragraph" w:styleId="Revision">
    <w:name w:val="Revision"/>
    <w:hidden/>
    <w:uiPriority w:val="99"/>
    <w:semiHidden/>
    <w:rsid w:val="00B2373F"/>
    <w:pPr>
      <w:spacing w:after="0" w:line="240" w:lineRule="auto"/>
    </w:pPr>
    <w:rPr>
      <w:rFonts w:ascii="Times New Roman" w:eastAsia="Times New Roman" w:hAnsi="Times New Roman" w:cs="Times New Roman"/>
      <w:noProof/>
      <w:kern w:val="0"/>
      <w:sz w:val="28"/>
      <w:szCs w:val="28"/>
      <w:lang w:val="pl-PL"/>
    </w:rPr>
  </w:style>
  <w:style w:type="character" w:styleId="CommentReference">
    <w:name w:val="annotation reference"/>
    <w:basedOn w:val="DefaultParagraphFont"/>
    <w:uiPriority w:val="99"/>
    <w:semiHidden/>
    <w:unhideWhenUsed/>
    <w:rsid w:val="00AD43DB"/>
    <w:rPr>
      <w:sz w:val="16"/>
      <w:szCs w:val="16"/>
    </w:rPr>
  </w:style>
  <w:style w:type="paragraph" w:styleId="CommentText">
    <w:name w:val="annotation text"/>
    <w:basedOn w:val="Normal"/>
    <w:link w:val="CommentTextChar"/>
    <w:uiPriority w:val="99"/>
    <w:unhideWhenUsed/>
    <w:rsid w:val="00AD43DB"/>
    <w:rPr>
      <w:sz w:val="20"/>
      <w:szCs w:val="20"/>
    </w:rPr>
  </w:style>
  <w:style w:type="character" w:customStyle="1" w:styleId="CommentTextChar">
    <w:name w:val="Comment Text Char"/>
    <w:basedOn w:val="DefaultParagraphFont"/>
    <w:link w:val="CommentText"/>
    <w:uiPriority w:val="99"/>
    <w:rsid w:val="00AD43DB"/>
    <w:rPr>
      <w:rFonts w:ascii="Times New Roman" w:eastAsia="Times New Roman" w:hAnsi="Times New Roman" w:cs="Times New Roman"/>
      <w:noProof/>
      <w:kern w:val="0"/>
      <w:sz w:val="20"/>
      <w:szCs w:val="20"/>
      <w:lang w:val="pl-PL"/>
    </w:rPr>
  </w:style>
  <w:style w:type="paragraph" w:styleId="CommentSubject">
    <w:name w:val="annotation subject"/>
    <w:basedOn w:val="CommentText"/>
    <w:next w:val="CommentText"/>
    <w:link w:val="CommentSubjectChar"/>
    <w:uiPriority w:val="99"/>
    <w:semiHidden/>
    <w:unhideWhenUsed/>
    <w:rsid w:val="00AD43DB"/>
    <w:rPr>
      <w:b/>
      <w:bCs/>
    </w:rPr>
  </w:style>
  <w:style w:type="character" w:customStyle="1" w:styleId="CommentSubjectChar">
    <w:name w:val="Comment Subject Char"/>
    <w:basedOn w:val="CommentTextChar"/>
    <w:link w:val="CommentSubject"/>
    <w:uiPriority w:val="99"/>
    <w:semiHidden/>
    <w:rsid w:val="00AD43DB"/>
    <w:rPr>
      <w:rFonts w:ascii="Times New Roman" w:eastAsia="Times New Roman" w:hAnsi="Times New Roman" w:cs="Times New Roman"/>
      <w:b/>
      <w:bCs/>
      <w:noProof/>
      <w:kern w:val="0"/>
      <w:sz w:val="20"/>
      <w:szCs w:val="20"/>
      <w:lang w:val="pl-PL"/>
    </w:rPr>
  </w:style>
  <w:style w:type="character" w:styleId="Hyperlink">
    <w:name w:val="Hyperlink"/>
    <w:basedOn w:val="DefaultParagraphFont"/>
    <w:uiPriority w:val="99"/>
    <w:unhideWhenUsed/>
    <w:rsid w:val="00AD43DB"/>
    <w:rPr>
      <w:color w:val="467886" w:themeColor="hyperlink"/>
      <w:u w:val="single"/>
    </w:rPr>
  </w:style>
  <w:style w:type="character" w:customStyle="1" w:styleId="UnresolvedMention1">
    <w:name w:val="Unresolved Mention1"/>
    <w:basedOn w:val="DefaultParagraphFont"/>
    <w:uiPriority w:val="99"/>
    <w:semiHidden/>
    <w:unhideWhenUsed/>
    <w:rsid w:val="00AD43DB"/>
    <w:rPr>
      <w:color w:val="605E5C"/>
      <w:shd w:val="clear" w:color="auto" w:fill="E1DFDD"/>
    </w:rPr>
  </w:style>
  <w:style w:type="paragraph" w:styleId="BalloonText">
    <w:name w:val="Balloon Text"/>
    <w:basedOn w:val="Normal"/>
    <w:link w:val="BalloonTextChar"/>
    <w:uiPriority w:val="99"/>
    <w:semiHidden/>
    <w:unhideWhenUsed/>
    <w:rsid w:val="00797B85"/>
    <w:rPr>
      <w:rFonts w:ascii="Tahoma" w:hAnsi="Tahoma" w:cs="Tahoma"/>
      <w:sz w:val="16"/>
      <w:szCs w:val="16"/>
    </w:rPr>
  </w:style>
  <w:style w:type="character" w:customStyle="1" w:styleId="BalloonTextChar">
    <w:name w:val="Balloon Text Char"/>
    <w:basedOn w:val="DefaultParagraphFont"/>
    <w:link w:val="BalloonText"/>
    <w:uiPriority w:val="99"/>
    <w:semiHidden/>
    <w:rsid w:val="00797B85"/>
    <w:rPr>
      <w:rFonts w:ascii="Tahoma" w:eastAsia="Times New Roman" w:hAnsi="Tahoma" w:cs="Tahoma"/>
      <w:noProof/>
      <w:kern w:val="0"/>
      <w:sz w:val="16"/>
      <w:szCs w:val="16"/>
      <w:lang w:val="pl-PL"/>
    </w:rPr>
  </w:style>
  <w:style w:type="paragraph" w:styleId="NormalWeb">
    <w:name w:val="Normal (Web)"/>
    <w:aliases w:val="Char Char Char Char Char Char Char Char Char Char,Char Char Char Char Char Char Char Char Char Char Char,Char Char Char,Обычный (веб)1,Обычный (веб) Знак,Обычный (веб) Знак1,Обычный (веб) Знак Знак,Char Char,Normal (Web) Char1,Char8 Char,we"/>
    <w:basedOn w:val="Normal"/>
    <w:link w:val="NormalWebChar"/>
    <w:uiPriority w:val="99"/>
    <w:unhideWhenUsed/>
    <w:qFormat/>
    <w:rsid w:val="00D9236C"/>
    <w:pPr>
      <w:spacing w:before="100" w:beforeAutospacing="1" w:after="100" w:afterAutospacing="1"/>
    </w:pPr>
    <w:rPr>
      <w:noProof w:val="0"/>
      <w:sz w:val="24"/>
      <w:szCs w:val="24"/>
      <w:lang w:val="en-US"/>
    </w:rPr>
  </w:style>
  <w:style w:type="character" w:customStyle="1" w:styleId="NormalWebChar">
    <w:name w:val="Normal (Web) Char"/>
    <w:aliases w:val="Char Char Char Char Char Char Char Char Char Char Char1,Char Char Char Char Char Char Char Char Char Char Char Char,Char Char Char Char,Обычный (веб)1 Char,Обычный (веб) Знак Char,Обычный (веб) Знак1 Char,Обычный (веб) Знак Знак Char"/>
    <w:link w:val="NormalWeb"/>
    <w:uiPriority w:val="99"/>
    <w:qFormat/>
    <w:locked/>
    <w:rsid w:val="00D9236C"/>
    <w:rPr>
      <w:rFonts w:ascii="Times New Roman" w:eastAsia="Times New Roman" w:hAnsi="Times New Roman" w:cs="Times New Roman"/>
      <w:kern w:val="0"/>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D9236C"/>
    <w:pPr>
      <w:spacing w:before="100" w:line="240" w:lineRule="exact"/>
    </w:pPr>
    <w:rPr>
      <w:rFonts w:asciiTheme="minorHAnsi" w:eastAsiaTheme="minorHAnsi" w:hAnsiTheme="minorHAnsi" w:cstheme="minorBidi"/>
      <w:noProof w:val="0"/>
      <w:kern w:val="2"/>
      <w:sz w:val="22"/>
      <w:szCs w:val="22"/>
      <w:vertAlign w:val="superscript"/>
      <w:lang w:val="en-US"/>
    </w:rPr>
  </w:style>
  <w:style w:type="table" w:styleId="TableGrid">
    <w:name w:val="Table Grid"/>
    <w:basedOn w:val="TableNormal"/>
    <w:uiPriority w:val="39"/>
    <w:rsid w:val="006B2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85509">
      <w:bodyDiv w:val="1"/>
      <w:marLeft w:val="0"/>
      <w:marRight w:val="0"/>
      <w:marTop w:val="0"/>
      <w:marBottom w:val="0"/>
      <w:divBdr>
        <w:top w:val="none" w:sz="0" w:space="0" w:color="auto"/>
        <w:left w:val="none" w:sz="0" w:space="0" w:color="auto"/>
        <w:bottom w:val="none" w:sz="0" w:space="0" w:color="auto"/>
        <w:right w:val="none" w:sz="0" w:space="0" w:color="auto"/>
      </w:divBdr>
    </w:div>
    <w:div w:id="313795841">
      <w:bodyDiv w:val="1"/>
      <w:marLeft w:val="0"/>
      <w:marRight w:val="0"/>
      <w:marTop w:val="0"/>
      <w:marBottom w:val="0"/>
      <w:divBdr>
        <w:top w:val="none" w:sz="0" w:space="0" w:color="auto"/>
        <w:left w:val="none" w:sz="0" w:space="0" w:color="auto"/>
        <w:bottom w:val="none" w:sz="0" w:space="0" w:color="auto"/>
        <w:right w:val="none" w:sz="0" w:space="0" w:color="auto"/>
      </w:divBdr>
    </w:div>
    <w:div w:id="431434046">
      <w:bodyDiv w:val="1"/>
      <w:marLeft w:val="0"/>
      <w:marRight w:val="0"/>
      <w:marTop w:val="0"/>
      <w:marBottom w:val="0"/>
      <w:divBdr>
        <w:top w:val="none" w:sz="0" w:space="0" w:color="auto"/>
        <w:left w:val="none" w:sz="0" w:space="0" w:color="auto"/>
        <w:bottom w:val="none" w:sz="0" w:space="0" w:color="auto"/>
        <w:right w:val="none" w:sz="0" w:space="0" w:color="auto"/>
      </w:divBdr>
    </w:div>
    <w:div w:id="643197110">
      <w:bodyDiv w:val="1"/>
      <w:marLeft w:val="0"/>
      <w:marRight w:val="0"/>
      <w:marTop w:val="0"/>
      <w:marBottom w:val="0"/>
      <w:divBdr>
        <w:top w:val="none" w:sz="0" w:space="0" w:color="auto"/>
        <w:left w:val="none" w:sz="0" w:space="0" w:color="auto"/>
        <w:bottom w:val="none" w:sz="0" w:space="0" w:color="auto"/>
        <w:right w:val="none" w:sz="0" w:space="0" w:color="auto"/>
      </w:divBdr>
    </w:div>
    <w:div w:id="689184153">
      <w:bodyDiv w:val="1"/>
      <w:marLeft w:val="0"/>
      <w:marRight w:val="0"/>
      <w:marTop w:val="0"/>
      <w:marBottom w:val="0"/>
      <w:divBdr>
        <w:top w:val="none" w:sz="0" w:space="0" w:color="auto"/>
        <w:left w:val="none" w:sz="0" w:space="0" w:color="auto"/>
        <w:bottom w:val="none" w:sz="0" w:space="0" w:color="auto"/>
        <w:right w:val="none" w:sz="0" w:space="0" w:color="auto"/>
      </w:divBdr>
    </w:div>
    <w:div w:id="1293050689">
      <w:bodyDiv w:val="1"/>
      <w:marLeft w:val="0"/>
      <w:marRight w:val="0"/>
      <w:marTop w:val="0"/>
      <w:marBottom w:val="0"/>
      <w:divBdr>
        <w:top w:val="none" w:sz="0" w:space="0" w:color="auto"/>
        <w:left w:val="none" w:sz="0" w:space="0" w:color="auto"/>
        <w:bottom w:val="none" w:sz="0" w:space="0" w:color="auto"/>
        <w:right w:val="none" w:sz="0" w:space="0" w:color="auto"/>
      </w:divBdr>
    </w:div>
    <w:div w:id="1809130318">
      <w:bodyDiv w:val="1"/>
      <w:marLeft w:val="0"/>
      <w:marRight w:val="0"/>
      <w:marTop w:val="0"/>
      <w:marBottom w:val="0"/>
      <w:divBdr>
        <w:top w:val="none" w:sz="0" w:space="0" w:color="auto"/>
        <w:left w:val="none" w:sz="0" w:space="0" w:color="auto"/>
        <w:bottom w:val="none" w:sz="0" w:space="0" w:color="auto"/>
        <w:right w:val="none" w:sz="0" w:space="0" w:color="auto"/>
      </w:divBdr>
    </w:div>
    <w:div w:id="1860582452">
      <w:bodyDiv w:val="1"/>
      <w:marLeft w:val="0"/>
      <w:marRight w:val="0"/>
      <w:marTop w:val="0"/>
      <w:marBottom w:val="0"/>
      <w:divBdr>
        <w:top w:val="none" w:sz="0" w:space="0" w:color="auto"/>
        <w:left w:val="none" w:sz="0" w:space="0" w:color="auto"/>
        <w:bottom w:val="none" w:sz="0" w:space="0" w:color="auto"/>
        <w:right w:val="none" w:sz="0" w:space="0" w:color="auto"/>
      </w:divBdr>
    </w:div>
    <w:div w:id="1865435244">
      <w:bodyDiv w:val="1"/>
      <w:marLeft w:val="0"/>
      <w:marRight w:val="0"/>
      <w:marTop w:val="0"/>
      <w:marBottom w:val="0"/>
      <w:divBdr>
        <w:top w:val="none" w:sz="0" w:space="0" w:color="auto"/>
        <w:left w:val="none" w:sz="0" w:space="0" w:color="auto"/>
        <w:bottom w:val="none" w:sz="0" w:space="0" w:color="auto"/>
        <w:right w:val="none" w:sz="0" w:space="0" w:color="auto"/>
      </w:divBdr>
    </w:div>
    <w:div w:id="1910265030">
      <w:bodyDiv w:val="1"/>
      <w:marLeft w:val="0"/>
      <w:marRight w:val="0"/>
      <w:marTop w:val="0"/>
      <w:marBottom w:val="0"/>
      <w:divBdr>
        <w:top w:val="none" w:sz="0" w:space="0" w:color="auto"/>
        <w:left w:val="none" w:sz="0" w:space="0" w:color="auto"/>
        <w:bottom w:val="none" w:sz="0" w:space="0" w:color="auto"/>
        <w:right w:val="none" w:sz="0" w:space="0" w:color="auto"/>
      </w:divBdr>
    </w:div>
    <w:div w:id="20076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at-dong-san/Nghi-dinh-188-2013-ND-CP-phat-trien-quan-ly-nha-o-xa-hoi-2139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A355-5BC3-4307-92FE-F4DA37E3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28</Pages>
  <Words>9412</Words>
  <Characters>53649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62936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Le Phuong</dc:creator>
  <cp:lastModifiedBy>Vo Le Phuong</cp:lastModifiedBy>
  <cp:revision>12</cp:revision>
  <cp:lastPrinted>2024-12-31T01:12:00Z</cp:lastPrinted>
  <dcterms:created xsi:type="dcterms:W3CDTF">2024-12-27T12:38:00Z</dcterms:created>
  <dcterms:modified xsi:type="dcterms:W3CDTF">2025-01-08T08:02:00Z</dcterms:modified>
</cp:coreProperties>
</file>