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Look w:val="04A0" w:firstRow="1" w:lastRow="0" w:firstColumn="1" w:lastColumn="0" w:noHBand="0" w:noVBand="1"/>
      </w:tblPr>
      <w:tblGrid>
        <w:gridCol w:w="3545"/>
        <w:gridCol w:w="6520"/>
      </w:tblGrid>
      <w:tr w:rsidR="004C5771" w14:paraId="06563695" w14:textId="77777777" w:rsidTr="004C5771">
        <w:tc>
          <w:tcPr>
            <w:tcW w:w="3545" w:type="dxa"/>
          </w:tcPr>
          <w:p w14:paraId="0386159B" w14:textId="77777777" w:rsidR="004C5771" w:rsidRPr="00DF7BD4" w:rsidRDefault="004C5771">
            <w:pPr>
              <w:pStyle w:val="Heading4"/>
              <w:jc w:val="center"/>
              <w:rPr>
                <w:rFonts w:ascii="Times New Roman" w:eastAsia="Times New Roman" w:hAnsi="Times New Roman" w:cs="Times New Roman"/>
                <w:b w:val="0"/>
                <w:bCs w:val="0"/>
                <w:i w:val="0"/>
                <w:iCs w:val="0"/>
                <w:color w:val="auto"/>
              </w:rPr>
            </w:pPr>
            <w:r w:rsidRPr="00DF7BD4">
              <w:rPr>
                <w:rFonts w:ascii="Times New Roman" w:eastAsia="Times New Roman" w:hAnsi="Times New Roman" w:cs="Times New Roman"/>
                <w:b w:val="0"/>
                <w:bCs w:val="0"/>
                <w:i w:val="0"/>
                <w:iCs w:val="0"/>
                <w:color w:val="auto"/>
              </w:rPr>
              <w:t>UBND TỈNH LÂM ĐỒNG</w:t>
            </w:r>
          </w:p>
          <w:p w14:paraId="49F77AA1" w14:textId="77777777" w:rsidR="004C5771" w:rsidRPr="004C5771" w:rsidRDefault="004C5771">
            <w:pPr>
              <w:jc w:val="center"/>
              <w:rPr>
                <w:b/>
              </w:rPr>
            </w:pPr>
            <w:r w:rsidRPr="004C5771">
              <w:rPr>
                <w:b/>
                <w:noProof/>
                <w:szCs w:val="24"/>
              </w:rPr>
              <mc:AlternateContent>
                <mc:Choice Requires="wps">
                  <w:drawing>
                    <wp:anchor distT="0" distB="0" distL="114300" distR="114300" simplePos="0" relativeHeight="251656704" behindDoc="0" locked="0" layoutInCell="1" allowOverlap="1" wp14:anchorId="5CE298D1" wp14:editId="58AA44CF">
                      <wp:simplePos x="0" y="0"/>
                      <wp:positionH relativeFrom="column">
                        <wp:posOffset>636905</wp:posOffset>
                      </wp:positionH>
                      <wp:positionV relativeFrom="paragraph">
                        <wp:posOffset>196215</wp:posOffset>
                      </wp:positionV>
                      <wp:extent cx="756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8D43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45pt" to="109.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irgEAAEcDAAAOAAAAZHJzL2Uyb0RvYy54bWysUsFuGyEQvVfqPyDu9a4tOW1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"/>
                  </w:pict>
                </mc:Fallback>
              </mc:AlternateContent>
            </w:r>
            <w:r w:rsidRPr="004C5771">
              <w:rPr>
                <w:b/>
              </w:rPr>
              <w:t>SỞ CÔNG THƯƠNG</w:t>
            </w:r>
          </w:p>
          <w:p w14:paraId="4297C91A" w14:textId="0B0673FF" w:rsidR="004C5771" w:rsidRPr="004C5771" w:rsidRDefault="002A1326" w:rsidP="008C0225">
            <w:pPr>
              <w:spacing w:before="120"/>
              <w:jc w:val="center"/>
              <w:rPr>
                <w:sz w:val="26"/>
                <w:szCs w:val="26"/>
              </w:rPr>
            </w:pPr>
            <w:r>
              <w:rPr>
                <w:sz w:val="26"/>
                <w:szCs w:val="26"/>
              </w:rPr>
              <w:t xml:space="preserve">Số: </w:t>
            </w:r>
            <w:r w:rsidR="004464CE">
              <w:rPr>
                <w:sz w:val="26"/>
                <w:szCs w:val="26"/>
              </w:rPr>
              <w:t xml:space="preserve">          </w:t>
            </w:r>
            <w:r w:rsidR="004C5771" w:rsidRPr="00665EE6">
              <w:rPr>
                <w:sz w:val="26"/>
                <w:szCs w:val="26"/>
              </w:rPr>
              <w:t>/</w:t>
            </w:r>
            <w:r w:rsidR="005D6C62" w:rsidRPr="00665EE6">
              <w:rPr>
                <w:sz w:val="26"/>
                <w:szCs w:val="26"/>
              </w:rPr>
              <w:t>BC-SCT</w:t>
            </w:r>
          </w:p>
        </w:tc>
        <w:tc>
          <w:tcPr>
            <w:tcW w:w="6520" w:type="dxa"/>
          </w:tcPr>
          <w:p w14:paraId="540AC6FB" w14:textId="77777777" w:rsidR="004C5771" w:rsidRPr="004C5771" w:rsidRDefault="004C5771">
            <w:pPr>
              <w:pStyle w:val="Heading4"/>
              <w:jc w:val="center"/>
              <w:rPr>
                <w:rFonts w:ascii="Times New Roman" w:eastAsia="Times New Roman" w:hAnsi="Times New Roman" w:cs="Times New Roman"/>
                <w:bCs w:val="0"/>
                <w:i w:val="0"/>
                <w:iCs w:val="0"/>
                <w:color w:val="auto"/>
              </w:rPr>
            </w:pPr>
            <w:r w:rsidRPr="004C5771">
              <w:rPr>
                <w:rFonts w:ascii="Times New Roman" w:eastAsia="Times New Roman" w:hAnsi="Times New Roman" w:cs="Times New Roman"/>
                <w:bCs w:val="0"/>
                <w:i w:val="0"/>
                <w:iCs w:val="0"/>
                <w:color w:val="auto"/>
              </w:rPr>
              <w:t>CỘNG HÒA XÃ HỘI CHỦ NGHĨA VIỆT NAM</w:t>
            </w:r>
          </w:p>
          <w:p w14:paraId="3C807189" w14:textId="73276994" w:rsidR="004C5771" w:rsidRPr="004C5771" w:rsidRDefault="004C5771">
            <w:pPr>
              <w:jc w:val="center"/>
              <w:rPr>
                <w:b/>
              </w:rPr>
            </w:pPr>
            <w:r w:rsidRPr="004C5771">
              <w:rPr>
                <w:b/>
              </w:rPr>
              <w:t>Độc lập – Tự do – Hạnh phúc</w:t>
            </w:r>
          </w:p>
          <w:p w14:paraId="26907342" w14:textId="4A0A5032" w:rsidR="004C5771" w:rsidRPr="004C5771" w:rsidRDefault="002A1B7E">
            <w:pPr>
              <w:jc w:val="center"/>
              <w:rPr>
                <w:b/>
              </w:rPr>
            </w:pPr>
            <w:r w:rsidRPr="004C5771">
              <w:rPr>
                <w:b/>
                <w:noProof/>
                <w:szCs w:val="24"/>
              </w:rPr>
              <mc:AlternateContent>
                <mc:Choice Requires="wps">
                  <w:drawing>
                    <wp:anchor distT="0" distB="0" distL="114300" distR="114300" simplePos="0" relativeHeight="251657728" behindDoc="0" locked="0" layoutInCell="1" allowOverlap="1" wp14:anchorId="2D3CB3E3" wp14:editId="1E7F4F8F">
                      <wp:simplePos x="0" y="0"/>
                      <wp:positionH relativeFrom="column">
                        <wp:posOffset>923620</wp:posOffset>
                      </wp:positionH>
                      <wp:positionV relativeFrom="paragraph">
                        <wp:posOffset>15875</wp:posOffset>
                      </wp:positionV>
                      <wp:extent cx="216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C0294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25pt" to="24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"/>
                  </w:pict>
                </mc:Fallback>
              </mc:AlternateContent>
            </w:r>
          </w:p>
          <w:p w14:paraId="0EA26054" w14:textId="7EF0934B" w:rsidR="004C5771" w:rsidRPr="004C5771" w:rsidRDefault="004C5771" w:rsidP="00446464">
            <w:pPr>
              <w:spacing w:after="120"/>
              <w:jc w:val="center"/>
              <w:rPr>
                <w:sz w:val="26"/>
                <w:szCs w:val="26"/>
              </w:rPr>
            </w:pPr>
            <w:r w:rsidRPr="004C5771">
              <w:rPr>
                <w:i/>
                <w:iCs/>
                <w:sz w:val="26"/>
                <w:szCs w:val="26"/>
              </w:rPr>
              <w:t xml:space="preserve">Lâm Đồng, ngày </w:t>
            </w:r>
            <w:r w:rsidR="004464CE">
              <w:rPr>
                <w:i/>
                <w:iCs/>
                <w:sz w:val="26"/>
                <w:szCs w:val="26"/>
              </w:rPr>
              <w:t xml:space="preserve">     </w:t>
            </w:r>
            <w:r w:rsidR="008C0225">
              <w:rPr>
                <w:i/>
                <w:iCs/>
                <w:sz w:val="26"/>
                <w:szCs w:val="26"/>
              </w:rPr>
              <w:t xml:space="preserve"> </w:t>
            </w:r>
            <w:r w:rsidRPr="004C5771">
              <w:rPr>
                <w:i/>
                <w:iCs/>
                <w:sz w:val="26"/>
                <w:szCs w:val="26"/>
              </w:rPr>
              <w:t xml:space="preserve">tháng </w:t>
            </w:r>
            <w:r w:rsidR="009A55A3">
              <w:rPr>
                <w:i/>
                <w:iCs/>
                <w:sz w:val="26"/>
                <w:szCs w:val="26"/>
              </w:rPr>
              <w:t>01</w:t>
            </w:r>
            <w:r w:rsidRPr="004C5771">
              <w:rPr>
                <w:i/>
                <w:iCs/>
                <w:sz w:val="26"/>
                <w:szCs w:val="26"/>
              </w:rPr>
              <w:t xml:space="preserve"> năm 202</w:t>
            </w:r>
            <w:r w:rsidR="005616CC">
              <w:rPr>
                <w:i/>
                <w:iCs/>
                <w:sz w:val="26"/>
                <w:szCs w:val="26"/>
              </w:rPr>
              <w:t>5</w:t>
            </w:r>
          </w:p>
        </w:tc>
      </w:tr>
    </w:tbl>
    <w:p w14:paraId="3478B138" w14:textId="77777777" w:rsidR="004C5771" w:rsidRDefault="004C5771" w:rsidP="004C5771">
      <w:pPr>
        <w:pStyle w:val="Heading4"/>
      </w:pPr>
      <w:r>
        <w:rPr>
          <w:i w:val="0"/>
          <w:iCs w:val="0"/>
        </w:rPr>
        <w:t xml:space="preserve">       </w:t>
      </w:r>
    </w:p>
    <w:p w14:paraId="75191F9F" w14:textId="77777777" w:rsidR="004C5771" w:rsidRDefault="004C5771" w:rsidP="004C5771">
      <w:pPr>
        <w:jc w:val="center"/>
        <w:rPr>
          <w:b/>
        </w:rPr>
      </w:pPr>
      <w:r>
        <w:rPr>
          <w:b/>
        </w:rPr>
        <w:t xml:space="preserve">BÁO CÁO </w:t>
      </w:r>
    </w:p>
    <w:p w14:paraId="2D0F93CE" w14:textId="0282D56C" w:rsidR="009B3411" w:rsidRDefault="00C15C00" w:rsidP="004C5771">
      <w:pPr>
        <w:spacing w:before="120" w:after="120"/>
        <w:ind w:firstLine="360"/>
        <w:jc w:val="center"/>
      </w:pPr>
      <w:r w:rsidRPr="00C15C00">
        <w:rPr>
          <w:b/>
        </w:rPr>
        <w:t>Tiến độ thực hiện Chiến lược phát triển ngành công nghiệp hóa chất Việt Nam đến năm 2030, tầm nhìn đến năm 2040</w:t>
      </w:r>
    </w:p>
    <w:p w14:paraId="781ED005" w14:textId="70423087" w:rsidR="00C15C00" w:rsidRDefault="00C15C00" w:rsidP="009B3411">
      <w:pPr>
        <w:spacing w:before="120" w:after="120"/>
        <w:ind w:firstLine="2835"/>
        <w:jc w:val="left"/>
      </w:pPr>
      <w:r>
        <w:rPr>
          <w:noProof/>
          <w:sz w:val="24"/>
          <w:szCs w:val="24"/>
        </w:rPr>
        <mc:AlternateContent>
          <mc:Choice Requires="wps">
            <w:drawing>
              <wp:anchor distT="0" distB="0" distL="114300" distR="114300" simplePos="0" relativeHeight="251658752" behindDoc="0" locked="0" layoutInCell="1" allowOverlap="1" wp14:anchorId="50C33FF1" wp14:editId="5E8AD70D">
                <wp:simplePos x="0" y="0"/>
                <wp:positionH relativeFrom="margin">
                  <wp:posOffset>2014220</wp:posOffset>
                </wp:positionH>
                <wp:positionV relativeFrom="paragraph">
                  <wp:posOffset>-1905</wp:posOffset>
                </wp:positionV>
                <wp:extent cx="215963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01983" id="_x0000_t32" coordsize="21600,21600" o:spt="32" o:oned="t" path="m,l21600,21600e" filled="f">
                <v:path arrowok="t" fillok="f" o:connecttype="none"/>
                <o:lock v:ext="edit" shapetype="t"/>
              </v:shapetype>
              <v:shape id="Straight Arrow Connector 1" o:spid="_x0000_s1026" type="#_x0000_t32" style="position:absolute;margin-left:158.6pt;margin-top:-.15pt;width:170.05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X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">
                <w10:wrap anchorx="margin"/>
              </v:shape>
            </w:pict>
          </mc:Fallback>
        </mc:AlternateContent>
      </w:r>
    </w:p>
    <w:p w14:paraId="431808B4" w14:textId="5D4BD825" w:rsidR="009B3411" w:rsidRDefault="009B3411" w:rsidP="00C15C00">
      <w:pPr>
        <w:spacing w:before="120" w:after="120"/>
        <w:ind w:firstLine="2835"/>
        <w:jc w:val="left"/>
      </w:pPr>
      <w:r>
        <w:t>Kính gửi: Cục Hoá chất, Bộ Công Thương</w:t>
      </w:r>
    </w:p>
    <w:p w14:paraId="771E206D" w14:textId="77777777" w:rsidR="009B3411" w:rsidRDefault="009B3411" w:rsidP="009B3411">
      <w:pPr>
        <w:spacing w:before="120" w:after="120"/>
        <w:ind w:firstLine="3828"/>
        <w:jc w:val="left"/>
      </w:pPr>
    </w:p>
    <w:p w14:paraId="0EA07835" w14:textId="41E8C922" w:rsidR="00C15C00" w:rsidRDefault="00C15C00" w:rsidP="004321DF">
      <w:pPr>
        <w:pStyle w:val="cv"/>
      </w:pPr>
      <w:r w:rsidRPr="00446464">
        <w:t xml:space="preserve">Thực hiện </w:t>
      </w:r>
      <w:r w:rsidR="004321DF">
        <w:t xml:space="preserve">Văn bản số 9092/BCT-HC ngày 11/11/2024 của Bộ Công </w:t>
      </w:r>
      <w:r w:rsidR="00A4717A">
        <w:t>T</w:t>
      </w:r>
      <w:bookmarkStart w:id="0" w:name="_GoBack"/>
      <w:bookmarkEnd w:id="0"/>
      <w:r w:rsidR="004321DF">
        <w:t xml:space="preserve">hương về việc triển khai </w:t>
      </w:r>
      <w:r w:rsidR="004321DF" w:rsidRPr="00446464">
        <w:t>triển khai và báo cáo định kỳ tiến độ thự</w:t>
      </w:r>
      <w:r w:rsidR="004321DF">
        <w:t>c</w:t>
      </w:r>
      <w:r w:rsidR="004321DF" w:rsidRPr="00446464">
        <w:t xml:space="preserve"> hiện chiến lược phát triển ngành công nghiệp hóa chất Việt Nam đến năm 2030, tầm nhìn đến năm 2040</w:t>
      </w:r>
      <w:r w:rsidR="004321DF">
        <w:t xml:space="preserve">, thừa ủy quyền của UBND tỉnh Lâm Đồng tại </w:t>
      </w:r>
      <w:r w:rsidR="004321DF" w:rsidRPr="00446464">
        <w:t>Văn bản số 9928/UBND-KT ngày 14/11/2024</w:t>
      </w:r>
      <w:r w:rsidR="004321DF">
        <w:t>,</w:t>
      </w:r>
      <w:r w:rsidRPr="00446464">
        <w:t xml:space="preserve"> Sở Công Thương báo cáo việc triển khai thực hiện Chiến lược phát triển ngành công nghiệp hóa chất Việt Nam đến năm 2030, tầm nhìn đến năm 2040 với nội dung như sau:</w:t>
      </w:r>
    </w:p>
    <w:p w14:paraId="4193DD47" w14:textId="5BD31B26" w:rsidR="00704B1E" w:rsidRDefault="00704B1E" w:rsidP="00704B1E">
      <w:pPr>
        <w:pStyle w:val="cv"/>
      </w:pPr>
      <w:r>
        <w:t xml:space="preserve">1. </w:t>
      </w:r>
      <w:r w:rsidR="00B53DF6">
        <w:t xml:space="preserve">Về triển khai Chiến lược và thực hiện tích hợp </w:t>
      </w:r>
      <w:r>
        <w:t>các nội dung của Chiến lược vào Quy hoạch tỉnh</w:t>
      </w:r>
      <w:r w:rsidR="00B53DF6">
        <w:t xml:space="preserve"> theo điều kiện phát triển, tiềm năng, lợi thế của địa phương</w:t>
      </w:r>
      <w:r>
        <w:t xml:space="preserve">: </w:t>
      </w:r>
    </w:p>
    <w:p w14:paraId="032508D4" w14:textId="1E3A4675" w:rsidR="00E818E8" w:rsidRDefault="00CE7DED" w:rsidP="00501F95">
      <w:pPr>
        <w:pStyle w:val="cv"/>
      </w:pPr>
      <w:r>
        <w:t>Tỉnh Lâm Đồng</w:t>
      </w:r>
      <w:r w:rsidR="00E818E8">
        <w:t xml:space="preserve"> triển khai các văn bản chỉ đạo, điều hành liên quan đến </w:t>
      </w:r>
      <w:r w:rsidRPr="00446464">
        <w:t>Chiến lược phát triển ngành công nghiệp hóa chất Việt Nam</w:t>
      </w:r>
      <w:r>
        <w:t xml:space="preserve"> </w:t>
      </w:r>
      <w:r w:rsidR="00E818E8">
        <w:t xml:space="preserve">như: </w:t>
      </w:r>
      <w:r>
        <w:t>Ban hành văn bản số 4917/UBND-MT ngày 05/7/2022 của UBND tỉnh Lâm Đồng về việc triển khai thực hiện Chiến lược phát triển ngành công nghiệp hoá chất Việt Nam đến năm 2030 tầm nhìn đến năm 2040; ban hành văn bản số 2641/STNMT-MT ngày 13/10/2024 c</w:t>
      </w:r>
      <w:r w:rsidR="00501F95">
        <w:t>ủa</w:t>
      </w:r>
      <w:r>
        <w:t xml:space="preserve"> Sở Tài nguyên và Môi trường về việc triển khai </w:t>
      </w:r>
      <w:r w:rsidR="00501F95">
        <w:t xml:space="preserve">đến các cơ quan, đơn vị liên quan </w:t>
      </w:r>
      <w:r>
        <w:t>đảm bảo tuân thủ các quy định pháp luật trong hoạt động sản xuất, nhập khẩu, kinh doanh, sử dụng</w:t>
      </w:r>
      <w:r w:rsidR="00501F95">
        <w:t xml:space="preserve">, vận chuyển, lưu giữ, chuyển giao và xử lý hoá chất, thuốc bảo vệ thực vật, thuốc thú y của các cơ sở trên địa bàn tỉnh Lâm Đồng; </w:t>
      </w:r>
      <w:r w:rsidR="00E818E8">
        <w:t xml:space="preserve">triển khai tổ chức hội nghị tập huấn nâng cao năng lực sử dụng hóa chất, chủ động ứng phó với các sự cố môi trường năm 2018; ban hành Văn bản số 1580/SCT-KTAT ngày 17/6/2019 của Sở Công Thương về việc yêu cầu các doanh nghiệp sử dụng, kinh doanh hoá chất thực hiện huấn luyện an toàn hóa chất theo nghị định 113/2017/NĐ-CP); Văn bản số 604/SCT-KTAT ngày 30/3/2020 về việc thông báo hệ thống hài hoà nhãn hoá chất bằng 38 ngôn ngữ trong APEC và liên minh Châu Âu; Rà soát, tham mưu UBND tỉnh ban hành Quyết định số 1526/QĐ-UBND ngày 15/6/2021 về việc sửa đổi Sửa đổi, bổ sung một số nội dung của Kế hoạch phòng ngừa, ứng phó sự cố hóa chất trên địa bàn tỉnh Lâm Đồng ban hành kèm theo Quyết định số 1458/QĐ-UBND ngày 03/7/2017 của UBND tỉnh Lâm Đồng; triển khai tổ chức lớp tập huấn tuyên truyền, hướng dẫn thự hiện các quy định có liên quan đến hoạt động bảo vệ môi trường cho các doanh nghiệp năm 2020, năm 2022, năm 2024; triển khai thực hiện </w:t>
      </w:r>
      <w:r w:rsidR="00E818E8">
        <w:lastRenderedPageBreak/>
        <w:t xml:space="preserve">“Đánh giá các nguồn gây ô nhiễm môi trường, tác động xấu đến môi trường từ hoạt động hóa chất trên địa bàn tỉnh Lâm Đồng” năm 2023; ban hành Văn bản số 2787/SCT-KTAT ngày 09/12/2024 về việc rà soát điều kiện kinh doanh đối với ngành nghề kinh doanh có điều kiện lĩnh vực hóa chất, khí dầu mỏ hóa lỏng, Văn bản số 1450/SCT-TTr ngày 01/6/2024 về một lưu ý trong hoạt động hoá chất; Hàng năm Sở Công Thương có công văn nhắc nhở các doanh nghiệp gửi báo cáo tổng hợp về tình hình hoạt động hóa chất của năm trước, gửi đồng thời Bộ quản lý ngành, lĩnh vực và cơ quan quản lý ngành cấp tỉnh nơi tiến hành hoạt động hóa chất. </w:t>
      </w:r>
    </w:p>
    <w:p w14:paraId="3ED06B6E" w14:textId="6E97744D" w:rsidR="00E818E8" w:rsidRDefault="00E818E8" w:rsidP="00E818E8">
      <w:pPr>
        <w:pStyle w:val="cv"/>
      </w:pPr>
      <w:r>
        <w:t>Về phòng ngừa, ứng phó sự cố môi trường: hàng năm phối hợp với các Sở, ngành, địa phương tiến hành rà soát, thống kê toàn bộ các cơ sở sản xuất, kinh doanh có sử dụng hóa chất độc hại, hóa chất nguy hiểm và có phương án để quản lý chặt chẽ; thực hiện tốt công tác thanh tra, kiểm tra, giám sát việc thực hiện quy định về Kế hoạch phòng ngừa, ứng phó sự cố hóa chất của tổ chức, cá nhân thuộc phạm vi quản lý.</w:t>
      </w:r>
      <w:r w:rsidR="00501F95">
        <w:t xml:space="preserve"> Các dự án, cơ sở sử dụng hoá chất chủ yếu dùng cho việc xử lý nước thải với khối lượng không nhiều. Trong quá trình thẩm định hồ sơ môi trường cũng đã đánh giá tác động của việc sử dụng hoá chất và đưa ra các biện pháp giảm thiểu.</w:t>
      </w:r>
    </w:p>
    <w:p w14:paraId="4CC56429" w14:textId="5CB64091" w:rsidR="00CC7DD5" w:rsidRDefault="00E818E8" w:rsidP="00E818E8">
      <w:pPr>
        <w:pStyle w:val="cv"/>
      </w:pPr>
      <w:r>
        <w:t>Phối hợp với các Sở, ngành, địa phương xây dựng kế hoạch, lộ trình đề xuất Ủy ban nhân dân tỉnh phê duyệt để tổ chức thực hiện đến 2025 đảm bảo di dời các cơ sở sản xuất, kinh doanh có sử dụng hóa chất độc hại, hóa chất nguy hiểm đang nằm trong khu vực đô thị hoặc khu dân cư tập trung để bảo vệ môi trường sinh thái, bảo đảm an toàn sức khỏe cho cộng đồng dân cư.</w:t>
      </w:r>
    </w:p>
    <w:p w14:paraId="609CC9A1" w14:textId="77777777" w:rsidR="00704B1E" w:rsidRDefault="00704B1E" w:rsidP="00704B1E">
      <w:pPr>
        <w:pStyle w:val="cv"/>
      </w:pPr>
      <w:r>
        <w:t>Căn cứ Quyết định số 1727/QĐ-TTg ngày 29/12/2023 của Thủ tướng Chính phủ về việc phê duyệt Quy hoạch tỉnh Lâm Đồng thời kỳ 2021-2030, tầm nhìn đến năm 2050, phương án phát triển các khu công nghiệp trên địa bàn tỉnh gồm 03 khu công nghiệp, trong đó có Khu công nghiệp Phú Hội.</w:t>
      </w:r>
    </w:p>
    <w:p w14:paraId="79F00159" w14:textId="77777777" w:rsidR="00704B1E" w:rsidRDefault="00704B1E" w:rsidP="00704B1E">
      <w:pPr>
        <w:pStyle w:val="cv"/>
      </w:pPr>
      <w:r>
        <w:t>Theo Quyết định số 1671/QĐ-UBND ngày 27/6/2007 của UBND tỉnh về việc phê duyệt quy hoạch chi tiết xây dựng Khu công nghiệp Phú Hội, huyện Đức Trọng, nhóm ngành công nghiệp hóa chất được dự kiến đầu tư vào Khu công nghiệp Phú Hội (tại điểm a khoản 5 Điều 1).</w:t>
      </w:r>
    </w:p>
    <w:p w14:paraId="0770A7B3" w14:textId="77777777" w:rsidR="00704B1E" w:rsidRDefault="00704B1E" w:rsidP="00704B1E">
      <w:pPr>
        <w:pStyle w:val="cv"/>
      </w:pPr>
      <w:r>
        <w:t xml:space="preserve">Như vậy, các nội dung của Chiến lược phát triển ngành công nghiệp hóa chất Việt Nam đến năm 2030, tầm nhìn đến năm 2040 đã được tích hợp vào Quy hoạch tỉnh thông qua định hướng phát triển ngành công nghiệp hóa chất trong Khu công nghiệp Phú Hội. </w:t>
      </w:r>
    </w:p>
    <w:p w14:paraId="07DE34F4" w14:textId="019B7C77" w:rsidR="00704B1E" w:rsidRDefault="00704B1E" w:rsidP="00704B1E">
      <w:pPr>
        <w:pStyle w:val="cv"/>
      </w:pPr>
      <w:r>
        <w:t>2. Việc tham mưu UBND tỉnh lấy ý kiến của Bộ Công thương về sự phù hợp của các dự án đầu tư trong lĩnh vực hóa chất với Chiến lược phát triển ngành trong quá trình xem xét, chấp thuận chủ trương đầu tư:</w:t>
      </w:r>
    </w:p>
    <w:p w14:paraId="72A22D95" w14:textId="77777777" w:rsidR="00704B1E" w:rsidRDefault="00704B1E" w:rsidP="00704B1E">
      <w:pPr>
        <w:pStyle w:val="cv"/>
      </w:pPr>
      <w:r>
        <w:t>Từ thời điểm Thủ tướng Chính phủ ban hành Quyết định số 726/QĐ-TTg ngày 16/6/2022 đến nay, tỉnh Lâm Đồng chưa chấp thuận chủ trương đầu tư cho dự án thuộc lĩnh vực hóa chất.</w:t>
      </w:r>
    </w:p>
    <w:p w14:paraId="053A6487" w14:textId="77777777" w:rsidR="00704B1E" w:rsidRDefault="00704B1E" w:rsidP="00704B1E">
      <w:pPr>
        <w:pStyle w:val="cv"/>
      </w:pPr>
      <w:r>
        <w:t>3. Thông tin về hoạt động của dự án thuộc lĩnh vực hóa chất trên địa bàn tỉnh như sau:</w:t>
      </w:r>
    </w:p>
    <w:p w14:paraId="638AA333" w14:textId="0A182839" w:rsidR="00C15C00" w:rsidRDefault="00704B1E" w:rsidP="00704B1E">
      <w:pPr>
        <w:pStyle w:val="cv"/>
      </w:pPr>
      <w:r>
        <w:t>Hiện nay, trên địa bàn tỉnh Lâm Đồng có 01 dự án thuộc lĩnh vực hóa chất</w:t>
      </w:r>
      <w:r w:rsidR="00B53DF6">
        <w:t xml:space="preserve"> cơ bản</w:t>
      </w:r>
      <w:r>
        <w:t xml:space="preserve"> đã được UBND tỉnh chấp thuận chủ trương đầu tư tại Quyết định số 348/QĐ-</w:t>
      </w:r>
      <w:r>
        <w:lastRenderedPageBreak/>
        <w:t>UBND ngày 21/02/2020. Dự án đang trong giai đoạn nghiệm thu, hoàn thành đưa vào hoạt động; chưa ghi nhận các khó khăn, vướng mắc liên quan đến dự án. (Chi tiết theo Phụ lục 1 đính kèm)</w:t>
      </w:r>
      <w:r w:rsidR="00F04DBE">
        <w:t>.</w:t>
      </w:r>
      <w:r w:rsidR="00501F95">
        <w:t xml:space="preserve"> Sở Tài nguyên và Môi trường tỉnh Lâm Đồng đã cử thành viên tham dự hội đồng thẩm định báo cáo đánh giá tác động môi trường của dự án trên. Dự án đã được Bộ tài nguyên và Môi trường phê duyệt Báo cáo đánh giá tác động môi trường tại Quyết định số 696/QĐ-BTNMT ngày 08/04/2022. </w:t>
      </w:r>
    </w:p>
    <w:p w14:paraId="671069F6" w14:textId="57ADB3B3" w:rsidR="00302DD7" w:rsidRPr="00302DD7" w:rsidRDefault="00302DD7" w:rsidP="00302DD7">
      <w:pPr>
        <w:spacing w:before="120" w:after="120" w:line="300" w:lineRule="atLeast"/>
        <w:ind w:firstLine="567"/>
      </w:pPr>
      <w:r w:rsidRPr="00045B63">
        <w:rPr>
          <w:color w:val="000000"/>
        </w:rPr>
        <w:t xml:space="preserve">Ngày </w:t>
      </w:r>
      <w:r>
        <w:rPr>
          <w:color w:val="000000"/>
        </w:rPr>
        <w:t>10</w:t>
      </w:r>
      <w:r w:rsidRPr="00045B63">
        <w:rPr>
          <w:color w:val="000000"/>
        </w:rPr>
        <w:t>/</w:t>
      </w:r>
      <w:r>
        <w:rPr>
          <w:color w:val="000000"/>
        </w:rPr>
        <w:t>12</w:t>
      </w:r>
      <w:r w:rsidRPr="00045B63">
        <w:rPr>
          <w:color w:val="000000"/>
        </w:rPr>
        <w:t xml:space="preserve">/2024, </w:t>
      </w:r>
      <w:r w:rsidRPr="00120395">
        <w:rPr>
          <w:iCs/>
        </w:rPr>
        <w:t>Sở Công Thương</w:t>
      </w:r>
      <w:r w:rsidRPr="00045B63">
        <w:rPr>
          <w:color w:val="000000"/>
        </w:rPr>
        <w:t xml:space="preserve"> </w:t>
      </w:r>
      <w:r>
        <w:rPr>
          <w:color w:val="000000"/>
        </w:rPr>
        <w:t xml:space="preserve">Lâm Đồng </w:t>
      </w:r>
      <w:r w:rsidRPr="00045B63">
        <w:rPr>
          <w:color w:val="000000"/>
        </w:rPr>
        <w:t xml:space="preserve">nhận được </w:t>
      </w:r>
      <w:r>
        <w:rPr>
          <w:color w:val="000000"/>
        </w:rPr>
        <w:t>V</w:t>
      </w:r>
      <w:r w:rsidRPr="00045B63">
        <w:rPr>
          <w:color w:val="000000"/>
        </w:rPr>
        <w:t xml:space="preserve">ăn bản đề nghị </w:t>
      </w:r>
      <w:r w:rsidRPr="00FF3230">
        <w:rPr>
          <w:color w:val="000000"/>
        </w:rPr>
        <w:t xml:space="preserve">số 0412/ĐN-BLC ngày 04/12/2024 </w:t>
      </w:r>
      <w:r w:rsidRPr="00045B63">
        <w:rPr>
          <w:color w:val="000000"/>
        </w:rPr>
        <w:t xml:space="preserve">của </w:t>
      </w:r>
      <w:r w:rsidRPr="001F0736">
        <w:t xml:space="preserve">Công ty Cổ phần HC Bảo Lâm </w:t>
      </w:r>
      <w:r w:rsidRPr="00045B63">
        <w:rPr>
          <w:color w:val="000000"/>
        </w:rPr>
        <w:t>về việc cấp Giấy chứng nhận đủ điều kiện kinh doanh hoá chất sản xuất, kinh doanh có điều kiện trong lĩnh vực công nghiệp</w:t>
      </w:r>
      <w:r>
        <w:rPr>
          <w:color w:val="000000"/>
        </w:rPr>
        <w:t xml:space="preserve">. Căn cứ kết quả thẩm định tại Biên bản thẩm định ngày 18/12/2024 của Đoàn thẩm định, hồ sơ đề nghị </w:t>
      </w:r>
      <w:r w:rsidRPr="00045B63">
        <w:rPr>
          <w:color w:val="000000"/>
        </w:rPr>
        <w:t>cấp Giấy chứng nhận đủ điều kiện kinh doanh hoá chất sản xuất, kinh doanh có điều kiện trong lĩnh vực công nghiệp</w:t>
      </w:r>
      <w:r>
        <w:rPr>
          <w:color w:val="000000"/>
        </w:rPr>
        <w:t xml:space="preserve"> của Công ty </w:t>
      </w:r>
      <w:r w:rsidRPr="001F0736">
        <w:t>Cổ phần HC Bảo Lâm</w:t>
      </w:r>
      <w:r>
        <w:rPr>
          <w:color w:val="000000"/>
        </w:rPr>
        <w:t xml:space="preserve"> không đủ điều kiện để cấp </w:t>
      </w:r>
      <w:r w:rsidRPr="00045B63">
        <w:rPr>
          <w:color w:val="000000"/>
        </w:rPr>
        <w:t>Giấy chứng nhận</w:t>
      </w:r>
      <w:r>
        <w:t xml:space="preserve"> với các lý do sau: </w:t>
      </w:r>
      <w:r w:rsidRPr="00B96987">
        <w:t xml:space="preserve">Chưa phù hợp với mục tiêu dự án; tiến độ thực hiện dự án </w:t>
      </w:r>
      <w:r>
        <w:t>theo</w:t>
      </w:r>
      <w:r w:rsidRPr="00B96987">
        <w:t xml:space="preserve"> Quyết định chủ trương đầu tư số 1320/QĐ-UBND ngày 25/7/2022 (Điều chỉnh lần thứ 2)</w:t>
      </w:r>
      <w:r>
        <w:t xml:space="preserve"> </w:t>
      </w:r>
      <w:r w:rsidRPr="00B96987">
        <w:t>đã hết hạn</w:t>
      </w:r>
      <w:r>
        <w:t xml:space="preserve"> (hết Quý III/2023 đưa nhà máy vào vận hành). </w:t>
      </w:r>
      <w:r w:rsidRPr="00B95589">
        <w:rPr>
          <w:color w:val="000000"/>
        </w:rPr>
        <w:t xml:space="preserve">Nhà xưởng, kho chứa hóa chất chưa được kiểm tra, nghiệm thu công việc xây dựng, hoàn thành hạng mục công trình </w:t>
      </w:r>
      <w:r>
        <w:rPr>
          <w:color w:val="000000"/>
        </w:rPr>
        <w:t xml:space="preserve">theo </w:t>
      </w:r>
      <w:r w:rsidRPr="00B95589">
        <w:rPr>
          <w:color w:val="000000"/>
        </w:rPr>
        <w:t xml:space="preserve">quy định tại Nghị định 06/2021/NĐ-CP của Chính phủ ngày 26/01/2023 của Chính phủ quy định chi tiết một số nội dung về quản lý chất lượng, thi </w:t>
      </w:r>
      <w:r>
        <w:rPr>
          <w:color w:val="000000"/>
        </w:rPr>
        <w:t xml:space="preserve">công </w:t>
      </w:r>
      <w:r w:rsidRPr="00B95589">
        <w:rPr>
          <w:color w:val="000000"/>
        </w:rPr>
        <w:t>xây dựng và bảo trì công trình xây dựng</w:t>
      </w:r>
      <w:r>
        <w:rPr>
          <w:color w:val="000000"/>
        </w:rPr>
        <w:t>.</w:t>
      </w:r>
      <w:r w:rsidRPr="00B95589">
        <w:rPr>
          <w:color w:val="000000"/>
        </w:rPr>
        <w:t xml:space="preserve"> Chưa đáp ứng tiêu chí “Quyết định phê duyệt hoặc văn bản xác nhận các tài liệu liên quan đến bảo vệ môi trường theo quy định của pháp luật được cơ quan quản lý nhà nước có thẩm quyền ban hành”.</w:t>
      </w:r>
    </w:p>
    <w:p w14:paraId="38924AA5" w14:textId="77777777" w:rsidR="00C15C00" w:rsidRPr="009B5834" w:rsidRDefault="00C15C00" w:rsidP="00C15C00">
      <w:pPr>
        <w:pStyle w:val="cv"/>
      </w:pPr>
      <w:r>
        <w:rPr>
          <w:bCs/>
        </w:rPr>
        <w:t xml:space="preserve">Trên đây là báo cáo </w:t>
      </w:r>
      <w:r>
        <w:t>t</w:t>
      </w:r>
      <w:r w:rsidRPr="005E7969">
        <w:t>iến độ thực hiện Chiến lược phát triển ngành công nghiệp hóa chất Việt Nam đến năm 2030, tầm nhìn đến năm 2040</w:t>
      </w:r>
      <w:r>
        <w:t>.</w:t>
      </w:r>
      <w:r w:rsidRPr="00C57FC7">
        <w:rPr>
          <w:bCs/>
        </w:rPr>
        <w:t xml:space="preserve"> Sở Công Thương </w:t>
      </w:r>
      <w:r>
        <w:rPr>
          <w:bCs/>
        </w:rPr>
        <w:t>đề nghị các cơ quan, đơn vị quan tâm phối hợp, triển khai thực hiện</w:t>
      </w:r>
      <w:r w:rsidRPr="00C57FC7">
        <w:rPr>
          <w:bCs/>
        </w:rPr>
        <w:t>./.</w:t>
      </w:r>
    </w:p>
    <w:tbl>
      <w:tblPr>
        <w:tblW w:w="0" w:type="auto"/>
        <w:tblInd w:w="108" w:type="dxa"/>
        <w:tblLook w:val="04A0" w:firstRow="1" w:lastRow="0" w:firstColumn="1" w:lastColumn="0" w:noHBand="0" w:noVBand="1"/>
      </w:tblPr>
      <w:tblGrid>
        <w:gridCol w:w="4646"/>
        <w:gridCol w:w="4601"/>
      </w:tblGrid>
      <w:tr w:rsidR="00BD6F96" w14:paraId="4E570DB4" w14:textId="77777777" w:rsidTr="00BD6F96">
        <w:tc>
          <w:tcPr>
            <w:tcW w:w="4702" w:type="dxa"/>
            <w:hideMark/>
          </w:tcPr>
          <w:p w14:paraId="7F10E5C2" w14:textId="691B77ED" w:rsidR="00BD6F96" w:rsidRPr="002A1B7E" w:rsidRDefault="00BD6F96">
            <w:pPr>
              <w:tabs>
                <w:tab w:val="left" w:pos="0"/>
              </w:tabs>
              <w:rPr>
                <w:b/>
                <w:i/>
                <w:sz w:val="24"/>
                <w:szCs w:val="24"/>
                <w:lang w:val="pl-PL"/>
              </w:rPr>
            </w:pPr>
            <w:r>
              <w:rPr>
                <w:b/>
                <w:i/>
                <w:lang w:val="pl-PL"/>
              </w:rPr>
              <w:t>Nơi nhận:</w:t>
            </w:r>
          </w:p>
          <w:p w14:paraId="4F9B9C75" w14:textId="0C376801" w:rsidR="00BD6F96" w:rsidRDefault="00BD6F96">
            <w:pPr>
              <w:tabs>
                <w:tab w:val="left" w:pos="0"/>
              </w:tabs>
              <w:rPr>
                <w:sz w:val="22"/>
                <w:szCs w:val="22"/>
                <w:lang w:val="pl-PL"/>
              </w:rPr>
            </w:pPr>
            <w:r>
              <w:rPr>
                <w:sz w:val="22"/>
                <w:szCs w:val="22"/>
                <w:lang w:val="pl-PL"/>
              </w:rPr>
              <w:t xml:space="preserve">- </w:t>
            </w:r>
            <w:r w:rsidR="009B3411">
              <w:rPr>
                <w:sz w:val="22"/>
                <w:szCs w:val="22"/>
                <w:lang w:val="pl-PL"/>
              </w:rPr>
              <w:t>Như trên</w:t>
            </w:r>
            <w:r w:rsidR="009644AB">
              <w:rPr>
                <w:sz w:val="22"/>
                <w:szCs w:val="22"/>
                <w:lang w:val="pl-PL"/>
              </w:rPr>
              <w:t>;</w:t>
            </w:r>
          </w:p>
          <w:p w14:paraId="449DB0C0" w14:textId="63D2617E" w:rsidR="00C15C00" w:rsidRDefault="00C15C00">
            <w:pPr>
              <w:tabs>
                <w:tab w:val="left" w:pos="0"/>
              </w:tabs>
              <w:rPr>
                <w:sz w:val="22"/>
                <w:szCs w:val="22"/>
                <w:lang w:val="pl-PL"/>
              </w:rPr>
            </w:pPr>
            <w:r>
              <w:rPr>
                <w:sz w:val="22"/>
                <w:szCs w:val="22"/>
                <w:lang w:val="pl-PL"/>
              </w:rPr>
              <w:t>- UBND tỉnh (b/c);</w:t>
            </w:r>
          </w:p>
          <w:p w14:paraId="2C3E4103" w14:textId="15F251C3" w:rsidR="00C15C00" w:rsidRDefault="00C15C00">
            <w:pPr>
              <w:tabs>
                <w:tab w:val="left" w:pos="0"/>
              </w:tabs>
              <w:rPr>
                <w:sz w:val="22"/>
                <w:szCs w:val="22"/>
                <w:lang w:val="pl-PL"/>
              </w:rPr>
            </w:pPr>
            <w:r>
              <w:rPr>
                <w:sz w:val="22"/>
                <w:szCs w:val="22"/>
              </w:rPr>
              <w:t>- GĐ, PGĐ Sở;</w:t>
            </w:r>
          </w:p>
          <w:p w14:paraId="1FCE02E2" w14:textId="77777777" w:rsidR="00BD6F96" w:rsidRDefault="00BD6F96">
            <w:pPr>
              <w:tabs>
                <w:tab w:val="left" w:pos="0"/>
              </w:tabs>
              <w:rPr>
                <w:b/>
                <w:i/>
                <w:sz w:val="24"/>
                <w:szCs w:val="24"/>
                <w:lang w:val="pl-PL"/>
              </w:rPr>
            </w:pPr>
            <w:r>
              <w:rPr>
                <w:sz w:val="22"/>
                <w:szCs w:val="22"/>
                <w:lang w:val="pl-PL"/>
              </w:rPr>
              <w:t>- Lưu: VT, KTAT.</w:t>
            </w:r>
          </w:p>
        </w:tc>
        <w:tc>
          <w:tcPr>
            <w:tcW w:w="4654" w:type="dxa"/>
          </w:tcPr>
          <w:p w14:paraId="3D514B6E" w14:textId="5D37BFE6" w:rsidR="00BD6F96" w:rsidRDefault="00DA327C">
            <w:pPr>
              <w:tabs>
                <w:tab w:val="left" w:pos="0"/>
              </w:tabs>
              <w:jc w:val="center"/>
              <w:rPr>
                <w:b/>
                <w:sz w:val="30"/>
                <w:lang w:val="pl-PL"/>
              </w:rPr>
            </w:pPr>
            <w:r>
              <w:rPr>
                <w:b/>
                <w:sz w:val="30"/>
                <w:lang w:val="pl-PL"/>
              </w:rPr>
              <w:t xml:space="preserve">KT. </w:t>
            </w:r>
            <w:r w:rsidR="00BD6F96">
              <w:rPr>
                <w:b/>
                <w:sz w:val="30"/>
                <w:lang w:val="pl-PL"/>
              </w:rPr>
              <w:t>GIÁM ĐỐC</w:t>
            </w:r>
          </w:p>
          <w:p w14:paraId="3EC9BC43" w14:textId="1C996564" w:rsidR="00DA327C" w:rsidRDefault="00DA327C">
            <w:pPr>
              <w:tabs>
                <w:tab w:val="left" w:pos="0"/>
              </w:tabs>
              <w:jc w:val="center"/>
              <w:rPr>
                <w:b/>
                <w:sz w:val="30"/>
                <w:szCs w:val="24"/>
                <w:lang w:val="pl-PL"/>
              </w:rPr>
            </w:pPr>
            <w:r>
              <w:rPr>
                <w:b/>
                <w:sz w:val="30"/>
                <w:szCs w:val="24"/>
                <w:lang w:val="pl-PL"/>
              </w:rPr>
              <w:t>PHÓ GIÁM ĐỐC</w:t>
            </w:r>
          </w:p>
          <w:p w14:paraId="6A54544B" w14:textId="77777777" w:rsidR="00BD6F96" w:rsidRDefault="00BD6F96">
            <w:pPr>
              <w:tabs>
                <w:tab w:val="left" w:pos="0"/>
              </w:tabs>
              <w:jc w:val="center"/>
              <w:rPr>
                <w:b/>
                <w:sz w:val="30"/>
                <w:lang w:val="pl-PL"/>
              </w:rPr>
            </w:pPr>
          </w:p>
          <w:p w14:paraId="4032B529" w14:textId="77777777" w:rsidR="00BD6F96" w:rsidRDefault="00BD6F96">
            <w:pPr>
              <w:tabs>
                <w:tab w:val="left" w:pos="0"/>
              </w:tabs>
              <w:jc w:val="center"/>
              <w:rPr>
                <w:b/>
                <w:sz w:val="30"/>
                <w:lang w:val="pl-PL"/>
              </w:rPr>
            </w:pPr>
          </w:p>
          <w:p w14:paraId="745CBFA8" w14:textId="77777777" w:rsidR="00BD6F96" w:rsidRDefault="00BD6F96">
            <w:pPr>
              <w:tabs>
                <w:tab w:val="left" w:pos="0"/>
              </w:tabs>
              <w:jc w:val="center"/>
              <w:rPr>
                <w:b/>
                <w:sz w:val="30"/>
                <w:lang w:val="pl-PL"/>
              </w:rPr>
            </w:pPr>
          </w:p>
          <w:p w14:paraId="2531811A" w14:textId="77777777" w:rsidR="00BD6F96" w:rsidRDefault="00BD6F96">
            <w:pPr>
              <w:tabs>
                <w:tab w:val="left" w:pos="0"/>
              </w:tabs>
              <w:jc w:val="center"/>
              <w:rPr>
                <w:b/>
                <w:sz w:val="30"/>
                <w:lang w:val="pl-PL"/>
              </w:rPr>
            </w:pPr>
          </w:p>
          <w:p w14:paraId="773279AA" w14:textId="77777777" w:rsidR="00BD6F96" w:rsidRDefault="00BD6F96">
            <w:pPr>
              <w:tabs>
                <w:tab w:val="left" w:pos="0"/>
              </w:tabs>
              <w:jc w:val="center"/>
              <w:rPr>
                <w:b/>
                <w:sz w:val="30"/>
                <w:lang w:val="pl-PL"/>
              </w:rPr>
            </w:pPr>
          </w:p>
          <w:p w14:paraId="667269F0" w14:textId="6EB78A4D" w:rsidR="00BD6F96" w:rsidRPr="00981070" w:rsidRDefault="00DA327C">
            <w:pPr>
              <w:tabs>
                <w:tab w:val="left" w:pos="0"/>
              </w:tabs>
              <w:jc w:val="center"/>
              <w:rPr>
                <w:b/>
                <w:iCs/>
                <w:sz w:val="24"/>
                <w:szCs w:val="24"/>
                <w:lang w:val="pl-PL"/>
              </w:rPr>
            </w:pPr>
            <w:r>
              <w:rPr>
                <w:b/>
                <w:sz w:val="30"/>
                <w:lang w:val="pl-PL"/>
              </w:rPr>
              <w:t>Cao Thị Thanh</w:t>
            </w:r>
          </w:p>
        </w:tc>
      </w:tr>
    </w:tbl>
    <w:p w14:paraId="7CB59358" w14:textId="521D4DEA" w:rsidR="001D5FFC" w:rsidRDefault="001D5FFC" w:rsidP="00D95299"/>
    <w:p w14:paraId="4942DCE1" w14:textId="25207988" w:rsidR="00446464" w:rsidRDefault="00446464" w:rsidP="00D95299"/>
    <w:p w14:paraId="69E32F6B" w14:textId="4B9F13FB" w:rsidR="00446464" w:rsidRDefault="00446464" w:rsidP="00D95299"/>
    <w:p w14:paraId="30CE648B" w14:textId="78F3F299" w:rsidR="00446464" w:rsidRDefault="00446464" w:rsidP="00D95299"/>
    <w:p w14:paraId="41AECA13" w14:textId="698B035B" w:rsidR="00446464" w:rsidRDefault="00446464" w:rsidP="00D95299"/>
    <w:p w14:paraId="150CACB4" w14:textId="224A256C" w:rsidR="00446464" w:rsidRDefault="00446464" w:rsidP="00D95299"/>
    <w:p w14:paraId="118A6446" w14:textId="05358236" w:rsidR="00446464" w:rsidRDefault="00446464" w:rsidP="00D95299"/>
    <w:p w14:paraId="70D10E9B" w14:textId="1F2A4AF8" w:rsidR="00446464" w:rsidRDefault="00446464" w:rsidP="00D95299"/>
    <w:p w14:paraId="348ACCE8" w14:textId="4BE3BEB1" w:rsidR="00446464" w:rsidRDefault="00446464" w:rsidP="00D95299"/>
    <w:p w14:paraId="53B2E321" w14:textId="10C03C63" w:rsidR="00446464" w:rsidRDefault="00446464" w:rsidP="00D95299"/>
    <w:p w14:paraId="6954E291" w14:textId="77777777" w:rsidR="00BD5F9B" w:rsidRDefault="00BD5F9B" w:rsidP="00D95299">
      <w:pPr>
        <w:sectPr w:rsidR="00BD5F9B" w:rsidSect="004464CE">
          <w:headerReference w:type="default" r:id="rId7"/>
          <w:pgSz w:w="11907" w:h="16840" w:code="9"/>
          <w:pgMar w:top="1134" w:right="851" w:bottom="1134" w:left="1701" w:header="283" w:footer="283" w:gutter="0"/>
          <w:cols w:space="720"/>
          <w:titlePg/>
          <w:docGrid w:linePitch="381"/>
        </w:sectPr>
      </w:pPr>
    </w:p>
    <w:p w14:paraId="021135AC" w14:textId="3A400A70" w:rsidR="00F95101" w:rsidRDefault="00F95101" w:rsidP="00B53DF6">
      <w:pPr>
        <w:jc w:val="center"/>
      </w:pPr>
      <w:r w:rsidRPr="00C818EF">
        <w:rPr>
          <w:b/>
          <w:bCs/>
          <w:color w:val="000000"/>
          <w:sz w:val="26"/>
          <w:szCs w:val="26"/>
        </w:rPr>
        <w:lastRenderedPageBreak/>
        <w:t>PHỤ LỤC 1: THÔNG TIN DỰ ÁN THUỘC LĨNH VỰC CÔNG NGHIỆP HÓA CHẤT TRÊN ĐỊA BÀN TỈNH LÂM ĐỒNG</w:t>
      </w:r>
      <w:r w:rsidRPr="00C818EF">
        <w:rPr>
          <w:b/>
          <w:bCs/>
          <w:color w:val="000000"/>
          <w:sz w:val="26"/>
          <w:szCs w:val="26"/>
        </w:rPr>
        <w:br/>
      </w:r>
      <w:r w:rsidRPr="00C818EF">
        <w:rPr>
          <w:i/>
          <w:iCs/>
          <w:color w:val="000000"/>
          <w:sz w:val="26"/>
          <w:szCs w:val="26"/>
        </w:rPr>
        <w:t>(Kèm theo văn bản số         /KHĐT-KTN ngày         tháng 01 năm 2025 của Sở Kế hoạch và Đầu tư)</w:t>
      </w:r>
    </w:p>
    <w:p w14:paraId="1F9BCC4F" w14:textId="6C227C8E" w:rsidR="00F95101" w:rsidRDefault="00F95101" w:rsidP="00F95101">
      <w:pPr>
        <w:tabs>
          <w:tab w:val="left" w:pos="1320"/>
        </w:tabs>
      </w:pPr>
    </w:p>
    <w:tbl>
      <w:tblPr>
        <w:tblW w:w="51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09"/>
        <w:gridCol w:w="1131"/>
        <w:gridCol w:w="1985"/>
        <w:gridCol w:w="1475"/>
        <w:gridCol w:w="1356"/>
        <w:gridCol w:w="1333"/>
        <w:gridCol w:w="1492"/>
        <w:gridCol w:w="1143"/>
        <w:gridCol w:w="975"/>
        <w:gridCol w:w="978"/>
      </w:tblGrid>
      <w:tr w:rsidR="00B53DF6" w:rsidRPr="00BD5F9B" w14:paraId="4B494FCF" w14:textId="77777777" w:rsidTr="00B53DF6">
        <w:trPr>
          <w:trHeight w:val="63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373FE"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STT</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5A5DF"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Thông tin chung về doanh nghiệp</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94A9B"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Loại hình hoạt động, sản phẩm</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FFA0B"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Quy mô sản xuất, kinh doanh</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85AC1"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Hiện trạng thiết bị công nghệ</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E6106"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Phương án cải tạo, cải tiến, chuyển đổi mô hình công nghệ và sản phẩm (nếu có)</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D04E3"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Vị trí trong khu chức năng (có/không)</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14CE9"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Di dời đến các khu chứng năng (có/không)</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05552"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Thời điểm, phương án di dời (nếu có)</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5F9FD"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Khó khăn, vướng mắc</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43886" w14:textId="77777777" w:rsidR="00F95101" w:rsidRPr="00B53DF6" w:rsidRDefault="00F95101" w:rsidP="00B53DF6">
            <w:pPr>
              <w:spacing w:before="60" w:after="60"/>
              <w:jc w:val="center"/>
              <w:rPr>
                <w:b/>
                <w:bCs/>
                <w:color w:val="000000"/>
                <w:sz w:val="24"/>
                <w:szCs w:val="24"/>
              </w:rPr>
            </w:pPr>
            <w:r w:rsidRPr="00B53DF6">
              <w:rPr>
                <w:b/>
                <w:bCs/>
                <w:color w:val="000000"/>
                <w:sz w:val="24"/>
                <w:szCs w:val="24"/>
              </w:rPr>
              <w:t>Đề xuất cơ chế chính sách và giải pháp</w:t>
            </w:r>
          </w:p>
        </w:tc>
      </w:tr>
      <w:tr w:rsidR="00B53DF6" w:rsidRPr="00BD5F9B" w14:paraId="607B0C7D" w14:textId="77777777" w:rsidTr="00B53DF6">
        <w:trPr>
          <w:trHeight w:val="63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4D496" w14:textId="77777777" w:rsidR="00F95101" w:rsidRPr="00B53DF6" w:rsidRDefault="00F95101" w:rsidP="00B53DF6">
            <w:pPr>
              <w:spacing w:before="60" w:after="60"/>
              <w:jc w:val="center"/>
              <w:rPr>
                <w:bCs/>
                <w:color w:val="000000"/>
                <w:sz w:val="26"/>
                <w:szCs w:val="26"/>
              </w:rPr>
            </w:pPr>
            <w:r w:rsidRPr="00B53DF6">
              <w:rPr>
                <w:bCs/>
                <w:color w:val="000000"/>
                <w:sz w:val="26"/>
                <w:szCs w:val="26"/>
              </w:rPr>
              <w:t>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C5050" w14:textId="77777777" w:rsidR="00F95101" w:rsidRPr="00B53DF6" w:rsidRDefault="00F95101" w:rsidP="00B53DF6">
            <w:pPr>
              <w:spacing w:before="60" w:after="60"/>
              <w:jc w:val="center"/>
              <w:rPr>
                <w:bCs/>
                <w:color w:val="000000"/>
                <w:sz w:val="26"/>
                <w:szCs w:val="26"/>
              </w:rPr>
            </w:pPr>
            <w:r w:rsidRPr="00B53DF6">
              <w:rPr>
                <w:bCs/>
                <w:color w:val="000000"/>
                <w:sz w:val="26"/>
                <w:szCs w:val="26"/>
              </w:rPr>
              <w:t>Công ty Cổ phần HC Bảo Lâm (Địa chỉ: tổ 19, thị trấn Lộc Thắng, huyện Bảo Lâm;</w:t>
            </w:r>
            <w:r w:rsidRPr="00B53DF6">
              <w:rPr>
                <w:bCs/>
                <w:color w:val="000000"/>
                <w:sz w:val="26"/>
                <w:szCs w:val="26"/>
              </w:rPr>
              <w:br/>
            </w:r>
            <w:proofErr w:type="spellStart"/>
            <w:r w:rsidRPr="00B53DF6">
              <w:rPr>
                <w:bCs/>
                <w:color w:val="000000"/>
                <w:sz w:val="26"/>
                <w:szCs w:val="26"/>
              </w:rPr>
              <w:t>Sđt</w:t>
            </w:r>
            <w:proofErr w:type="spellEnd"/>
            <w:r w:rsidRPr="00B53DF6">
              <w:rPr>
                <w:bCs/>
                <w:color w:val="000000"/>
                <w:sz w:val="26"/>
                <w:szCs w:val="26"/>
              </w:rPr>
              <w:t>: 0982761022)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1F465" w14:textId="77777777" w:rsidR="00F95101" w:rsidRPr="00B53DF6" w:rsidRDefault="00F95101" w:rsidP="00B53DF6">
            <w:pPr>
              <w:spacing w:before="60" w:after="60"/>
              <w:jc w:val="center"/>
              <w:rPr>
                <w:bCs/>
                <w:color w:val="000000"/>
                <w:sz w:val="26"/>
                <w:szCs w:val="26"/>
              </w:rPr>
            </w:pPr>
            <w:r w:rsidRPr="00B53DF6">
              <w:rPr>
                <w:bCs/>
                <w:color w:val="000000"/>
                <w:sz w:val="26"/>
                <w:szCs w:val="26"/>
              </w:rPr>
              <w:t xml:space="preserve">Thực hiện dự án sản xuất xút (NaOH) và các sản phẩm xử lý nước cấp, nước thải từ </w:t>
            </w:r>
            <w:proofErr w:type="spellStart"/>
            <w:r w:rsidRPr="00B53DF6">
              <w:rPr>
                <w:bCs/>
                <w:color w:val="000000"/>
                <w:sz w:val="26"/>
                <w:szCs w:val="26"/>
              </w:rPr>
              <w:t>Clo</w:t>
            </w:r>
            <w:proofErr w:type="spellEnd"/>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96651" w14:textId="77777777" w:rsidR="00F95101" w:rsidRPr="00B53DF6" w:rsidRDefault="00F95101" w:rsidP="00B53DF6">
            <w:pPr>
              <w:spacing w:before="60" w:after="60"/>
              <w:jc w:val="center"/>
              <w:rPr>
                <w:bCs/>
                <w:color w:val="000000"/>
                <w:sz w:val="26"/>
                <w:szCs w:val="26"/>
              </w:rPr>
            </w:pPr>
            <w:r w:rsidRPr="00B53DF6">
              <w:rPr>
                <w:bCs/>
                <w:color w:val="000000"/>
                <w:sz w:val="26"/>
                <w:szCs w:val="26"/>
              </w:rPr>
              <w:t>+ Sản xuất xút 45% : 20.000 tấn/năm;</w:t>
            </w:r>
            <w:r w:rsidRPr="00B53DF6">
              <w:rPr>
                <w:bCs/>
                <w:color w:val="000000"/>
                <w:sz w:val="26"/>
                <w:szCs w:val="26"/>
              </w:rPr>
              <w:br/>
              <w:t>+ Chất lắng PAC: 30.000 tấn (dạng bột khô 32% Al2O3/năm);</w:t>
            </w:r>
            <w:r w:rsidRPr="00B53DF6">
              <w:rPr>
                <w:bCs/>
                <w:color w:val="000000"/>
                <w:sz w:val="26"/>
                <w:szCs w:val="26"/>
              </w:rPr>
              <w:br/>
              <w:t>+ Javen (</w:t>
            </w:r>
            <w:proofErr w:type="spellStart"/>
            <w:r w:rsidRPr="00B53DF6">
              <w:rPr>
                <w:bCs/>
                <w:color w:val="000000"/>
                <w:sz w:val="26"/>
                <w:szCs w:val="26"/>
              </w:rPr>
              <w:t>NaOCl</w:t>
            </w:r>
            <w:proofErr w:type="spellEnd"/>
            <w:r w:rsidRPr="00B53DF6">
              <w:rPr>
                <w:bCs/>
                <w:color w:val="000000"/>
                <w:sz w:val="26"/>
                <w:szCs w:val="26"/>
              </w:rPr>
              <w:t>): 2.600 tấn/năm;</w:t>
            </w:r>
            <w:r w:rsidRPr="00B53DF6">
              <w:rPr>
                <w:bCs/>
                <w:color w:val="000000"/>
                <w:sz w:val="26"/>
                <w:szCs w:val="26"/>
              </w:rPr>
              <w:br/>
              <w:t xml:space="preserve">+ </w:t>
            </w:r>
            <w:proofErr w:type="spellStart"/>
            <w:r w:rsidRPr="00B53DF6">
              <w:rPr>
                <w:bCs/>
                <w:color w:val="000000"/>
                <w:sz w:val="26"/>
                <w:szCs w:val="26"/>
              </w:rPr>
              <w:t>Axit</w:t>
            </w:r>
            <w:proofErr w:type="spellEnd"/>
            <w:r w:rsidRPr="00B53DF6">
              <w:rPr>
                <w:bCs/>
                <w:color w:val="000000"/>
                <w:sz w:val="26"/>
                <w:szCs w:val="26"/>
              </w:rPr>
              <w:t xml:space="preserve"> HCl: 10.000 tấn/năm;</w:t>
            </w:r>
            <w:r w:rsidRPr="00B53DF6">
              <w:rPr>
                <w:bCs/>
                <w:color w:val="000000"/>
                <w:sz w:val="26"/>
                <w:szCs w:val="26"/>
              </w:rPr>
              <w:br/>
              <w:t xml:space="preserve">+ </w:t>
            </w:r>
            <w:proofErr w:type="spellStart"/>
            <w:r w:rsidRPr="00B53DF6">
              <w:rPr>
                <w:bCs/>
                <w:color w:val="000000"/>
                <w:sz w:val="26"/>
                <w:szCs w:val="26"/>
              </w:rPr>
              <w:t>Clo</w:t>
            </w:r>
            <w:proofErr w:type="spellEnd"/>
            <w:r w:rsidRPr="00B53DF6">
              <w:rPr>
                <w:bCs/>
                <w:color w:val="000000"/>
                <w:sz w:val="26"/>
                <w:szCs w:val="26"/>
              </w:rPr>
              <w:t xml:space="preserve"> lỏng: 150 tấn/năm.</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6D791" w14:textId="77777777" w:rsidR="00F95101" w:rsidRPr="00B53DF6" w:rsidRDefault="00F95101" w:rsidP="00B53DF6">
            <w:pPr>
              <w:spacing w:before="60" w:after="60"/>
              <w:jc w:val="center"/>
              <w:rPr>
                <w:bCs/>
                <w:color w:val="000000"/>
                <w:sz w:val="26"/>
                <w:szCs w:val="26"/>
              </w:rPr>
            </w:pPr>
            <w:r w:rsidRPr="00B53DF6">
              <w:rPr>
                <w:bCs/>
                <w:color w:val="000000"/>
                <w:sz w:val="26"/>
                <w:szCs w:val="26"/>
              </w:rPr>
              <w:t xml:space="preserve">Sản xuất theo công nghệ </w:t>
            </w:r>
            <w:proofErr w:type="spellStart"/>
            <w:r w:rsidRPr="00B53DF6">
              <w:rPr>
                <w:bCs/>
                <w:color w:val="000000"/>
                <w:sz w:val="26"/>
                <w:szCs w:val="26"/>
              </w:rPr>
              <w:t>MemBrane</w:t>
            </w:r>
            <w:proofErr w:type="spellEnd"/>
            <w:r w:rsidRPr="00B53DF6">
              <w:rPr>
                <w:bCs/>
                <w:color w:val="000000"/>
                <w:sz w:val="26"/>
                <w:szCs w:val="26"/>
              </w:rPr>
              <w:t xml:space="preserve"> (màng ion)</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8B19A"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24D08"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1F33E"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D4201"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9E7D9"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02E3F" w14:textId="77777777" w:rsidR="00F95101" w:rsidRPr="00B53DF6" w:rsidRDefault="00F95101" w:rsidP="00B53DF6">
            <w:pPr>
              <w:spacing w:before="60" w:after="60"/>
              <w:jc w:val="center"/>
              <w:rPr>
                <w:bCs/>
                <w:color w:val="000000"/>
                <w:sz w:val="26"/>
                <w:szCs w:val="26"/>
              </w:rPr>
            </w:pPr>
            <w:r w:rsidRPr="00B53DF6">
              <w:rPr>
                <w:bCs/>
                <w:color w:val="000000"/>
                <w:sz w:val="26"/>
                <w:szCs w:val="26"/>
              </w:rPr>
              <w:t>Không</w:t>
            </w:r>
          </w:p>
        </w:tc>
      </w:tr>
    </w:tbl>
    <w:p w14:paraId="6FA6FE13" w14:textId="578DCB49" w:rsidR="00446464" w:rsidRDefault="00446464" w:rsidP="00D95299"/>
    <w:sectPr w:rsidR="00446464" w:rsidSect="00BD5F9B">
      <w:pgSz w:w="16840" w:h="11907" w:orient="landscape"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C1E4" w14:textId="77777777" w:rsidR="00C42E62" w:rsidRDefault="00C42E62" w:rsidP="00F26DD1">
      <w:r>
        <w:separator/>
      </w:r>
    </w:p>
  </w:endnote>
  <w:endnote w:type="continuationSeparator" w:id="0">
    <w:p w14:paraId="20F0253A" w14:textId="77777777" w:rsidR="00C42E62" w:rsidRDefault="00C42E62" w:rsidP="00F2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BAF4" w14:textId="77777777" w:rsidR="00C42E62" w:rsidRDefault="00C42E62" w:rsidP="00F26DD1">
      <w:r>
        <w:separator/>
      </w:r>
    </w:p>
  </w:footnote>
  <w:footnote w:type="continuationSeparator" w:id="0">
    <w:p w14:paraId="592E49A8" w14:textId="77777777" w:rsidR="00C42E62" w:rsidRDefault="00C42E62" w:rsidP="00F2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882837489"/>
      <w:docPartObj>
        <w:docPartGallery w:val="Page Numbers (Top of Page)"/>
        <w:docPartUnique/>
      </w:docPartObj>
    </w:sdtPr>
    <w:sdtEndPr>
      <w:rPr>
        <w:noProof/>
      </w:rPr>
    </w:sdtEndPr>
    <w:sdtContent>
      <w:p w14:paraId="2D998064" w14:textId="20F24583" w:rsidR="008C0225" w:rsidRPr="002F6041" w:rsidRDefault="008C0225">
        <w:pPr>
          <w:pStyle w:val="Header"/>
          <w:jc w:val="center"/>
          <w:rPr>
            <w:sz w:val="26"/>
            <w:szCs w:val="26"/>
          </w:rPr>
        </w:pPr>
        <w:r w:rsidRPr="002F6041">
          <w:rPr>
            <w:sz w:val="26"/>
            <w:szCs w:val="26"/>
          </w:rPr>
          <w:fldChar w:fldCharType="begin"/>
        </w:r>
        <w:r w:rsidRPr="002F6041">
          <w:rPr>
            <w:sz w:val="26"/>
            <w:szCs w:val="26"/>
          </w:rPr>
          <w:instrText xml:space="preserve"> PAGE   \* MERGEFORMAT </w:instrText>
        </w:r>
        <w:r w:rsidRPr="002F6041">
          <w:rPr>
            <w:sz w:val="26"/>
            <w:szCs w:val="26"/>
          </w:rPr>
          <w:fldChar w:fldCharType="separate"/>
        </w:r>
        <w:r w:rsidR="00FF0850">
          <w:rPr>
            <w:noProof/>
            <w:sz w:val="26"/>
            <w:szCs w:val="26"/>
          </w:rPr>
          <w:t>1</w:t>
        </w:r>
        <w:r w:rsidRPr="002F6041">
          <w:rPr>
            <w:noProof/>
            <w:sz w:val="26"/>
            <w:szCs w:val="26"/>
          </w:rPr>
          <w:fldChar w:fldCharType="end"/>
        </w:r>
      </w:p>
    </w:sdtContent>
  </w:sdt>
  <w:p w14:paraId="6590697B" w14:textId="77777777" w:rsidR="008C0225" w:rsidRDefault="008C0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2F"/>
    <w:rsid w:val="0000714D"/>
    <w:rsid w:val="000140CC"/>
    <w:rsid w:val="00034170"/>
    <w:rsid w:val="0004123C"/>
    <w:rsid w:val="000627B1"/>
    <w:rsid w:val="0007132F"/>
    <w:rsid w:val="00091CC7"/>
    <w:rsid w:val="000A6B52"/>
    <w:rsid w:val="000B7B1E"/>
    <w:rsid w:val="000E4A99"/>
    <w:rsid w:val="000E52EA"/>
    <w:rsid w:val="000E6DC5"/>
    <w:rsid w:val="000E734F"/>
    <w:rsid w:val="000F4664"/>
    <w:rsid w:val="00122A66"/>
    <w:rsid w:val="001259DC"/>
    <w:rsid w:val="00130B79"/>
    <w:rsid w:val="0014300B"/>
    <w:rsid w:val="001460CB"/>
    <w:rsid w:val="0018184C"/>
    <w:rsid w:val="00195751"/>
    <w:rsid w:val="001C5192"/>
    <w:rsid w:val="001D0B58"/>
    <w:rsid w:val="001D5FFC"/>
    <w:rsid w:val="001D7907"/>
    <w:rsid w:val="001F7A95"/>
    <w:rsid w:val="002051DE"/>
    <w:rsid w:val="002055FF"/>
    <w:rsid w:val="00217839"/>
    <w:rsid w:val="00217EFA"/>
    <w:rsid w:val="00247BC0"/>
    <w:rsid w:val="00262953"/>
    <w:rsid w:val="002760AC"/>
    <w:rsid w:val="0027678A"/>
    <w:rsid w:val="002A1326"/>
    <w:rsid w:val="002A1B7E"/>
    <w:rsid w:val="002A303F"/>
    <w:rsid w:val="002B6550"/>
    <w:rsid w:val="002D01F2"/>
    <w:rsid w:val="002E3473"/>
    <w:rsid w:val="002E366B"/>
    <w:rsid w:val="002F48B4"/>
    <w:rsid w:val="002F6041"/>
    <w:rsid w:val="00302DD7"/>
    <w:rsid w:val="00314708"/>
    <w:rsid w:val="0032136E"/>
    <w:rsid w:val="00346D67"/>
    <w:rsid w:val="00397FB2"/>
    <w:rsid w:val="003B51B9"/>
    <w:rsid w:val="003D222A"/>
    <w:rsid w:val="003E6610"/>
    <w:rsid w:val="004321DF"/>
    <w:rsid w:val="004412ED"/>
    <w:rsid w:val="00446464"/>
    <w:rsid w:val="004464CE"/>
    <w:rsid w:val="004809D7"/>
    <w:rsid w:val="004858CE"/>
    <w:rsid w:val="00494BDB"/>
    <w:rsid w:val="004B0A52"/>
    <w:rsid w:val="004B1BBC"/>
    <w:rsid w:val="004B3F90"/>
    <w:rsid w:val="004C2359"/>
    <w:rsid w:val="004C5771"/>
    <w:rsid w:val="004D37BA"/>
    <w:rsid w:val="004D4EB2"/>
    <w:rsid w:val="004F7C85"/>
    <w:rsid w:val="00500EEA"/>
    <w:rsid w:val="00501F5F"/>
    <w:rsid w:val="00501F95"/>
    <w:rsid w:val="005025F7"/>
    <w:rsid w:val="00520748"/>
    <w:rsid w:val="005236FC"/>
    <w:rsid w:val="00531981"/>
    <w:rsid w:val="00533607"/>
    <w:rsid w:val="00534844"/>
    <w:rsid w:val="0055637F"/>
    <w:rsid w:val="005616CC"/>
    <w:rsid w:val="005658A2"/>
    <w:rsid w:val="00575AB2"/>
    <w:rsid w:val="005806BC"/>
    <w:rsid w:val="005914EA"/>
    <w:rsid w:val="005B3EAB"/>
    <w:rsid w:val="005C5904"/>
    <w:rsid w:val="005C7B77"/>
    <w:rsid w:val="005D6C62"/>
    <w:rsid w:val="005F08A9"/>
    <w:rsid w:val="00602B7F"/>
    <w:rsid w:val="00625374"/>
    <w:rsid w:val="00640EF6"/>
    <w:rsid w:val="006556FC"/>
    <w:rsid w:val="00665EE6"/>
    <w:rsid w:val="0067117B"/>
    <w:rsid w:val="00672D63"/>
    <w:rsid w:val="006771C9"/>
    <w:rsid w:val="00686ACF"/>
    <w:rsid w:val="0069238A"/>
    <w:rsid w:val="006A4297"/>
    <w:rsid w:val="006B6968"/>
    <w:rsid w:val="006E3C08"/>
    <w:rsid w:val="00704B1E"/>
    <w:rsid w:val="00722ECF"/>
    <w:rsid w:val="00724C57"/>
    <w:rsid w:val="00752AC6"/>
    <w:rsid w:val="0076365F"/>
    <w:rsid w:val="00782BEC"/>
    <w:rsid w:val="007B6194"/>
    <w:rsid w:val="007B78F8"/>
    <w:rsid w:val="007C44F2"/>
    <w:rsid w:val="007D6D56"/>
    <w:rsid w:val="00815DA2"/>
    <w:rsid w:val="00840168"/>
    <w:rsid w:val="00847370"/>
    <w:rsid w:val="00874A70"/>
    <w:rsid w:val="0089639D"/>
    <w:rsid w:val="008A4E48"/>
    <w:rsid w:val="008B5EEA"/>
    <w:rsid w:val="008C0225"/>
    <w:rsid w:val="008D06E2"/>
    <w:rsid w:val="008E5523"/>
    <w:rsid w:val="00900E85"/>
    <w:rsid w:val="009130F3"/>
    <w:rsid w:val="00950191"/>
    <w:rsid w:val="009644AB"/>
    <w:rsid w:val="00974EE1"/>
    <w:rsid w:val="00981070"/>
    <w:rsid w:val="00994FFC"/>
    <w:rsid w:val="009967E0"/>
    <w:rsid w:val="009A1B82"/>
    <w:rsid w:val="009A1D53"/>
    <w:rsid w:val="009A55A3"/>
    <w:rsid w:val="009B3411"/>
    <w:rsid w:val="009C09B6"/>
    <w:rsid w:val="009C1434"/>
    <w:rsid w:val="00A07EAC"/>
    <w:rsid w:val="00A21C1E"/>
    <w:rsid w:val="00A27CC6"/>
    <w:rsid w:val="00A3005C"/>
    <w:rsid w:val="00A43100"/>
    <w:rsid w:val="00A4717A"/>
    <w:rsid w:val="00A6036E"/>
    <w:rsid w:val="00A831AA"/>
    <w:rsid w:val="00A951A2"/>
    <w:rsid w:val="00A95EDF"/>
    <w:rsid w:val="00AC1F1F"/>
    <w:rsid w:val="00AF6C63"/>
    <w:rsid w:val="00B13D9F"/>
    <w:rsid w:val="00B53DF6"/>
    <w:rsid w:val="00B818BD"/>
    <w:rsid w:val="00B94C0C"/>
    <w:rsid w:val="00BA2167"/>
    <w:rsid w:val="00BA7615"/>
    <w:rsid w:val="00BC4627"/>
    <w:rsid w:val="00BD5F9B"/>
    <w:rsid w:val="00BD6F96"/>
    <w:rsid w:val="00C009F3"/>
    <w:rsid w:val="00C044C0"/>
    <w:rsid w:val="00C1272C"/>
    <w:rsid w:val="00C15C00"/>
    <w:rsid w:val="00C255AD"/>
    <w:rsid w:val="00C27C62"/>
    <w:rsid w:val="00C42E62"/>
    <w:rsid w:val="00C62E0C"/>
    <w:rsid w:val="00C818EF"/>
    <w:rsid w:val="00C90CA9"/>
    <w:rsid w:val="00C97044"/>
    <w:rsid w:val="00CA35D7"/>
    <w:rsid w:val="00CC54B8"/>
    <w:rsid w:val="00CC581D"/>
    <w:rsid w:val="00CC7DD5"/>
    <w:rsid w:val="00CE7DED"/>
    <w:rsid w:val="00CF32E7"/>
    <w:rsid w:val="00D0456E"/>
    <w:rsid w:val="00D16B2A"/>
    <w:rsid w:val="00D5532B"/>
    <w:rsid w:val="00D7139C"/>
    <w:rsid w:val="00D84F1F"/>
    <w:rsid w:val="00D95299"/>
    <w:rsid w:val="00DA2F6A"/>
    <w:rsid w:val="00DA327C"/>
    <w:rsid w:val="00DB25B4"/>
    <w:rsid w:val="00DC2609"/>
    <w:rsid w:val="00DF1BB3"/>
    <w:rsid w:val="00DF7BD4"/>
    <w:rsid w:val="00E12FF1"/>
    <w:rsid w:val="00E300D5"/>
    <w:rsid w:val="00E4521B"/>
    <w:rsid w:val="00E51F2E"/>
    <w:rsid w:val="00E61152"/>
    <w:rsid w:val="00E714FE"/>
    <w:rsid w:val="00E818E8"/>
    <w:rsid w:val="00E90A2C"/>
    <w:rsid w:val="00EA2931"/>
    <w:rsid w:val="00ED0B61"/>
    <w:rsid w:val="00ED67B8"/>
    <w:rsid w:val="00F04C3A"/>
    <w:rsid w:val="00F04DBE"/>
    <w:rsid w:val="00F20595"/>
    <w:rsid w:val="00F26DD1"/>
    <w:rsid w:val="00F44378"/>
    <w:rsid w:val="00F76FEF"/>
    <w:rsid w:val="00F85419"/>
    <w:rsid w:val="00F95101"/>
    <w:rsid w:val="00F9798B"/>
    <w:rsid w:val="00FB181F"/>
    <w:rsid w:val="00FD0334"/>
    <w:rsid w:val="00FD0F0E"/>
    <w:rsid w:val="00FD34BE"/>
    <w:rsid w:val="00FE6494"/>
    <w:rsid w:val="00FF0850"/>
    <w:rsid w:val="00FF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B8C"/>
  <w15:docId w15:val="{CA8A990B-E49C-4083-97D6-97176273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7E0"/>
    <w:pPr>
      <w:spacing w:after="0" w:line="240" w:lineRule="auto"/>
      <w:jc w:val="both"/>
    </w:pPr>
    <w:rPr>
      <w:rFonts w:eastAsia="Times New Roman" w:cs="Times New Roman"/>
      <w:sz w:val="28"/>
      <w:szCs w:val="28"/>
    </w:rPr>
  </w:style>
  <w:style w:type="paragraph" w:styleId="Heading2">
    <w:name w:val="heading 2"/>
    <w:basedOn w:val="Normal"/>
    <w:next w:val="Normal"/>
    <w:link w:val="Heading2Char"/>
    <w:qFormat/>
    <w:rsid w:val="009967E0"/>
    <w:pPr>
      <w:keepNext/>
      <w:jc w:val="left"/>
      <w:outlineLvl w:val="1"/>
    </w:pPr>
    <w:rPr>
      <w:rFonts w:ascii=".VnTimeH" w:hAnsi=".VnTimeH"/>
      <w:b/>
      <w:sz w:val="26"/>
      <w:szCs w:val="20"/>
    </w:rPr>
  </w:style>
  <w:style w:type="paragraph" w:styleId="Heading4">
    <w:name w:val="heading 4"/>
    <w:basedOn w:val="Normal"/>
    <w:next w:val="Normal"/>
    <w:link w:val="Heading4Char"/>
    <w:uiPriority w:val="9"/>
    <w:semiHidden/>
    <w:unhideWhenUsed/>
    <w:qFormat/>
    <w:rsid w:val="004C5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67E0"/>
    <w:rPr>
      <w:rFonts w:ascii=".VnTimeH" w:eastAsia="Times New Roman" w:hAnsi=".VnTimeH" w:cs="Times New Roman"/>
      <w:b/>
      <w:szCs w:val="20"/>
    </w:rPr>
  </w:style>
  <w:style w:type="paragraph" w:styleId="NormalWeb">
    <w:name w:val="Normal (Web)"/>
    <w:basedOn w:val="Normal"/>
    <w:rsid w:val="009967E0"/>
    <w:pPr>
      <w:spacing w:before="100" w:beforeAutospacing="1" w:after="100" w:afterAutospacing="1"/>
      <w:jc w:val="left"/>
    </w:pPr>
    <w:rPr>
      <w:sz w:val="24"/>
      <w:szCs w:val="24"/>
    </w:rPr>
  </w:style>
  <w:style w:type="character" w:customStyle="1" w:styleId="Heading4Char">
    <w:name w:val="Heading 4 Char"/>
    <w:basedOn w:val="DefaultParagraphFont"/>
    <w:link w:val="Heading4"/>
    <w:uiPriority w:val="9"/>
    <w:semiHidden/>
    <w:rsid w:val="004C5771"/>
    <w:rPr>
      <w:rFonts w:asciiTheme="majorHAnsi" w:eastAsiaTheme="majorEastAsia" w:hAnsiTheme="majorHAnsi" w:cstheme="majorBidi"/>
      <w:b/>
      <w:bCs/>
      <w:i/>
      <w:iCs/>
      <w:color w:val="4F81BD" w:themeColor="accent1"/>
      <w:sz w:val="28"/>
      <w:szCs w:val="28"/>
    </w:rPr>
  </w:style>
  <w:style w:type="paragraph" w:styleId="ListParagraph">
    <w:name w:val="List Paragraph"/>
    <w:basedOn w:val="Normal"/>
    <w:uiPriority w:val="34"/>
    <w:qFormat/>
    <w:rsid w:val="00CC581D"/>
    <w:pPr>
      <w:ind w:left="720"/>
      <w:contextualSpacing/>
    </w:pPr>
  </w:style>
  <w:style w:type="paragraph" w:styleId="FootnoteText">
    <w:name w:val="footnote text"/>
    <w:basedOn w:val="Normal"/>
    <w:link w:val="FootnoteTextChar"/>
    <w:semiHidden/>
    <w:unhideWhenUsed/>
    <w:rsid w:val="00F26DD1"/>
    <w:pPr>
      <w:jc w:val="left"/>
    </w:pPr>
    <w:rPr>
      <w:sz w:val="20"/>
      <w:szCs w:val="20"/>
    </w:rPr>
  </w:style>
  <w:style w:type="character" w:customStyle="1" w:styleId="FootnoteTextChar">
    <w:name w:val="Footnote Text Char"/>
    <w:basedOn w:val="DefaultParagraphFont"/>
    <w:link w:val="FootnoteText"/>
    <w:semiHidden/>
    <w:rsid w:val="00F26DD1"/>
    <w:rPr>
      <w:rFonts w:eastAsia="Times New Roman" w:cs="Times New Roman"/>
      <w:sz w:val="20"/>
      <w:szCs w:val="20"/>
    </w:rPr>
  </w:style>
  <w:style w:type="character" w:styleId="FootnoteReference">
    <w:name w:val="footnote reference"/>
    <w:semiHidden/>
    <w:unhideWhenUsed/>
    <w:rsid w:val="00F26DD1"/>
    <w:rPr>
      <w:vertAlign w:val="superscript"/>
    </w:rPr>
  </w:style>
  <w:style w:type="paragraph" w:styleId="BalloonText">
    <w:name w:val="Balloon Text"/>
    <w:basedOn w:val="Normal"/>
    <w:link w:val="BalloonTextChar"/>
    <w:uiPriority w:val="99"/>
    <w:semiHidden/>
    <w:unhideWhenUsed/>
    <w:rsid w:val="00DF7BD4"/>
    <w:rPr>
      <w:rFonts w:ascii="Tahoma" w:hAnsi="Tahoma" w:cs="Tahoma"/>
      <w:sz w:val="16"/>
      <w:szCs w:val="16"/>
    </w:rPr>
  </w:style>
  <w:style w:type="character" w:customStyle="1" w:styleId="BalloonTextChar">
    <w:name w:val="Balloon Text Char"/>
    <w:basedOn w:val="DefaultParagraphFont"/>
    <w:link w:val="BalloonText"/>
    <w:uiPriority w:val="99"/>
    <w:semiHidden/>
    <w:rsid w:val="00DF7BD4"/>
    <w:rPr>
      <w:rFonts w:ascii="Tahoma" w:eastAsia="Times New Roman" w:hAnsi="Tahoma" w:cs="Tahoma"/>
      <w:sz w:val="16"/>
      <w:szCs w:val="16"/>
    </w:rPr>
  </w:style>
  <w:style w:type="paragraph" w:styleId="Header">
    <w:name w:val="header"/>
    <w:basedOn w:val="Normal"/>
    <w:link w:val="HeaderChar"/>
    <w:uiPriority w:val="99"/>
    <w:unhideWhenUsed/>
    <w:rsid w:val="002F6041"/>
    <w:pPr>
      <w:tabs>
        <w:tab w:val="center" w:pos="4680"/>
        <w:tab w:val="right" w:pos="9360"/>
      </w:tabs>
    </w:pPr>
  </w:style>
  <w:style w:type="character" w:customStyle="1" w:styleId="HeaderChar">
    <w:name w:val="Header Char"/>
    <w:basedOn w:val="DefaultParagraphFont"/>
    <w:link w:val="Header"/>
    <w:uiPriority w:val="99"/>
    <w:rsid w:val="002F6041"/>
    <w:rPr>
      <w:rFonts w:eastAsia="Times New Roman" w:cs="Times New Roman"/>
      <w:sz w:val="28"/>
      <w:szCs w:val="28"/>
    </w:rPr>
  </w:style>
  <w:style w:type="paragraph" w:styleId="Footer">
    <w:name w:val="footer"/>
    <w:basedOn w:val="Normal"/>
    <w:link w:val="FooterChar"/>
    <w:uiPriority w:val="99"/>
    <w:unhideWhenUsed/>
    <w:rsid w:val="002F6041"/>
    <w:pPr>
      <w:tabs>
        <w:tab w:val="center" w:pos="4680"/>
        <w:tab w:val="right" w:pos="9360"/>
      </w:tabs>
    </w:pPr>
  </w:style>
  <w:style w:type="character" w:customStyle="1" w:styleId="FooterChar">
    <w:name w:val="Footer Char"/>
    <w:basedOn w:val="DefaultParagraphFont"/>
    <w:link w:val="Footer"/>
    <w:uiPriority w:val="99"/>
    <w:rsid w:val="002F6041"/>
    <w:rPr>
      <w:rFonts w:eastAsia="Times New Roman" w:cs="Times New Roman"/>
      <w:sz w:val="28"/>
      <w:szCs w:val="28"/>
    </w:rPr>
  </w:style>
  <w:style w:type="paragraph" w:customStyle="1" w:styleId="cv">
    <w:name w:val="cv"/>
    <w:basedOn w:val="Normal"/>
    <w:autoRedefine/>
    <w:rsid w:val="00C15C00"/>
    <w:pPr>
      <w:spacing w:before="6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9693">
      <w:bodyDiv w:val="1"/>
      <w:marLeft w:val="0"/>
      <w:marRight w:val="0"/>
      <w:marTop w:val="0"/>
      <w:marBottom w:val="0"/>
      <w:divBdr>
        <w:top w:val="none" w:sz="0" w:space="0" w:color="auto"/>
        <w:left w:val="none" w:sz="0" w:space="0" w:color="auto"/>
        <w:bottom w:val="none" w:sz="0" w:space="0" w:color="auto"/>
        <w:right w:val="none" w:sz="0" w:space="0" w:color="auto"/>
      </w:divBdr>
    </w:div>
    <w:div w:id="159464902">
      <w:bodyDiv w:val="1"/>
      <w:marLeft w:val="0"/>
      <w:marRight w:val="0"/>
      <w:marTop w:val="0"/>
      <w:marBottom w:val="0"/>
      <w:divBdr>
        <w:top w:val="none" w:sz="0" w:space="0" w:color="auto"/>
        <w:left w:val="none" w:sz="0" w:space="0" w:color="auto"/>
        <w:bottom w:val="none" w:sz="0" w:space="0" w:color="auto"/>
        <w:right w:val="none" w:sz="0" w:space="0" w:color="auto"/>
      </w:divBdr>
    </w:div>
    <w:div w:id="172425239">
      <w:bodyDiv w:val="1"/>
      <w:marLeft w:val="0"/>
      <w:marRight w:val="0"/>
      <w:marTop w:val="0"/>
      <w:marBottom w:val="0"/>
      <w:divBdr>
        <w:top w:val="none" w:sz="0" w:space="0" w:color="auto"/>
        <w:left w:val="none" w:sz="0" w:space="0" w:color="auto"/>
        <w:bottom w:val="none" w:sz="0" w:space="0" w:color="auto"/>
        <w:right w:val="none" w:sz="0" w:space="0" w:color="auto"/>
      </w:divBdr>
    </w:div>
    <w:div w:id="583488909">
      <w:bodyDiv w:val="1"/>
      <w:marLeft w:val="0"/>
      <w:marRight w:val="0"/>
      <w:marTop w:val="0"/>
      <w:marBottom w:val="0"/>
      <w:divBdr>
        <w:top w:val="none" w:sz="0" w:space="0" w:color="auto"/>
        <w:left w:val="none" w:sz="0" w:space="0" w:color="auto"/>
        <w:bottom w:val="none" w:sz="0" w:space="0" w:color="auto"/>
        <w:right w:val="none" w:sz="0" w:space="0" w:color="auto"/>
      </w:divBdr>
    </w:div>
    <w:div w:id="682903643">
      <w:bodyDiv w:val="1"/>
      <w:marLeft w:val="0"/>
      <w:marRight w:val="0"/>
      <w:marTop w:val="0"/>
      <w:marBottom w:val="0"/>
      <w:divBdr>
        <w:top w:val="none" w:sz="0" w:space="0" w:color="auto"/>
        <w:left w:val="none" w:sz="0" w:space="0" w:color="auto"/>
        <w:bottom w:val="none" w:sz="0" w:space="0" w:color="auto"/>
        <w:right w:val="none" w:sz="0" w:space="0" w:color="auto"/>
      </w:divBdr>
    </w:div>
    <w:div w:id="741634819">
      <w:bodyDiv w:val="1"/>
      <w:marLeft w:val="0"/>
      <w:marRight w:val="0"/>
      <w:marTop w:val="0"/>
      <w:marBottom w:val="0"/>
      <w:divBdr>
        <w:top w:val="none" w:sz="0" w:space="0" w:color="auto"/>
        <w:left w:val="none" w:sz="0" w:space="0" w:color="auto"/>
        <w:bottom w:val="none" w:sz="0" w:space="0" w:color="auto"/>
        <w:right w:val="none" w:sz="0" w:space="0" w:color="auto"/>
      </w:divBdr>
    </w:div>
    <w:div w:id="746734866">
      <w:bodyDiv w:val="1"/>
      <w:marLeft w:val="0"/>
      <w:marRight w:val="0"/>
      <w:marTop w:val="0"/>
      <w:marBottom w:val="0"/>
      <w:divBdr>
        <w:top w:val="none" w:sz="0" w:space="0" w:color="auto"/>
        <w:left w:val="none" w:sz="0" w:space="0" w:color="auto"/>
        <w:bottom w:val="none" w:sz="0" w:space="0" w:color="auto"/>
        <w:right w:val="none" w:sz="0" w:space="0" w:color="auto"/>
      </w:divBdr>
    </w:div>
    <w:div w:id="759714328">
      <w:bodyDiv w:val="1"/>
      <w:marLeft w:val="0"/>
      <w:marRight w:val="0"/>
      <w:marTop w:val="0"/>
      <w:marBottom w:val="0"/>
      <w:divBdr>
        <w:top w:val="none" w:sz="0" w:space="0" w:color="auto"/>
        <w:left w:val="none" w:sz="0" w:space="0" w:color="auto"/>
        <w:bottom w:val="none" w:sz="0" w:space="0" w:color="auto"/>
        <w:right w:val="none" w:sz="0" w:space="0" w:color="auto"/>
      </w:divBdr>
    </w:div>
    <w:div w:id="1091582215">
      <w:bodyDiv w:val="1"/>
      <w:marLeft w:val="0"/>
      <w:marRight w:val="0"/>
      <w:marTop w:val="0"/>
      <w:marBottom w:val="0"/>
      <w:divBdr>
        <w:top w:val="none" w:sz="0" w:space="0" w:color="auto"/>
        <w:left w:val="none" w:sz="0" w:space="0" w:color="auto"/>
        <w:bottom w:val="none" w:sz="0" w:space="0" w:color="auto"/>
        <w:right w:val="none" w:sz="0" w:space="0" w:color="auto"/>
      </w:divBdr>
    </w:div>
    <w:div w:id="1146901028">
      <w:bodyDiv w:val="1"/>
      <w:marLeft w:val="0"/>
      <w:marRight w:val="0"/>
      <w:marTop w:val="0"/>
      <w:marBottom w:val="0"/>
      <w:divBdr>
        <w:top w:val="none" w:sz="0" w:space="0" w:color="auto"/>
        <w:left w:val="none" w:sz="0" w:space="0" w:color="auto"/>
        <w:bottom w:val="none" w:sz="0" w:space="0" w:color="auto"/>
        <w:right w:val="none" w:sz="0" w:space="0" w:color="auto"/>
      </w:divBdr>
    </w:div>
    <w:div w:id="1156847011">
      <w:bodyDiv w:val="1"/>
      <w:marLeft w:val="0"/>
      <w:marRight w:val="0"/>
      <w:marTop w:val="0"/>
      <w:marBottom w:val="0"/>
      <w:divBdr>
        <w:top w:val="none" w:sz="0" w:space="0" w:color="auto"/>
        <w:left w:val="none" w:sz="0" w:space="0" w:color="auto"/>
        <w:bottom w:val="none" w:sz="0" w:space="0" w:color="auto"/>
        <w:right w:val="none" w:sz="0" w:space="0" w:color="auto"/>
      </w:divBdr>
    </w:div>
    <w:div w:id="1187864153">
      <w:bodyDiv w:val="1"/>
      <w:marLeft w:val="0"/>
      <w:marRight w:val="0"/>
      <w:marTop w:val="0"/>
      <w:marBottom w:val="0"/>
      <w:divBdr>
        <w:top w:val="none" w:sz="0" w:space="0" w:color="auto"/>
        <w:left w:val="none" w:sz="0" w:space="0" w:color="auto"/>
        <w:bottom w:val="none" w:sz="0" w:space="0" w:color="auto"/>
        <w:right w:val="none" w:sz="0" w:space="0" w:color="auto"/>
      </w:divBdr>
    </w:div>
    <w:div w:id="1272395595">
      <w:bodyDiv w:val="1"/>
      <w:marLeft w:val="0"/>
      <w:marRight w:val="0"/>
      <w:marTop w:val="0"/>
      <w:marBottom w:val="0"/>
      <w:divBdr>
        <w:top w:val="none" w:sz="0" w:space="0" w:color="auto"/>
        <w:left w:val="none" w:sz="0" w:space="0" w:color="auto"/>
        <w:bottom w:val="none" w:sz="0" w:space="0" w:color="auto"/>
        <w:right w:val="none" w:sz="0" w:space="0" w:color="auto"/>
      </w:divBdr>
    </w:div>
    <w:div w:id="1713379142">
      <w:bodyDiv w:val="1"/>
      <w:marLeft w:val="0"/>
      <w:marRight w:val="0"/>
      <w:marTop w:val="0"/>
      <w:marBottom w:val="0"/>
      <w:divBdr>
        <w:top w:val="none" w:sz="0" w:space="0" w:color="auto"/>
        <w:left w:val="none" w:sz="0" w:space="0" w:color="auto"/>
        <w:bottom w:val="none" w:sz="0" w:space="0" w:color="auto"/>
        <w:right w:val="none" w:sz="0" w:space="0" w:color="auto"/>
      </w:divBdr>
    </w:div>
    <w:div w:id="1857116276">
      <w:bodyDiv w:val="1"/>
      <w:marLeft w:val="0"/>
      <w:marRight w:val="0"/>
      <w:marTop w:val="0"/>
      <w:marBottom w:val="0"/>
      <w:divBdr>
        <w:top w:val="none" w:sz="0" w:space="0" w:color="auto"/>
        <w:left w:val="none" w:sz="0" w:space="0" w:color="auto"/>
        <w:bottom w:val="none" w:sz="0" w:space="0" w:color="auto"/>
        <w:right w:val="none" w:sz="0" w:space="0" w:color="auto"/>
      </w:divBdr>
    </w:div>
    <w:div w:id="21125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CAA2-E8BE-4D04-898F-A66B5AFD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Hello</dc:creator>
  <cp:lastModifiedBy>Administrator</cp:lastModifiedBy>
  <cp:revision>17</cp:revision>
  <cp:lastPrinted>2023-01-27T02:19:00Z</cp:lastPrinted>
  <dcterms:created xsi:type="dcterms:W3CDTF">2023-01-27T01:00:00Z</dcterms:created>
  <dcterms:modified xsi:type="dcterms:W3CDTF">2025-01-09T10:21:00Z</dcterms:modified>
</cp:coreProperties>
</file>