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05"/>
      </w:tblGrid>
      <w:tr w:rsidR="008C6770" w14:paraId="6CE6BF5C" w14:textId="77777777" w:rsidTr="002F65B0">
        <w:tc>
          <w:tcPr>
            <w:tcW w:w="3964" w:type="dxa"/>
          </w:tcPr>
          <w:p w14:paraId="5C3FA699" w14:textId="15D4C24F" w:rsidR="008C6770" w:rsidRDefault="008C6770" w:rsidP="008C6770">
            <w:pPr>
              <w:spacing w:line="264" w:lineRule="auto"/>
              <w:jc w:val="center"/>
              <w:rPr>
                <w:b/>
                <w:sz w:val="28"/>
                <w:szCs w:val="28"/>
              </w:rPr>
            </w:pPr>
            <w:r>
              <w:rPr>
                <w:b/>
                <w:sz w:val="28"/>
                <w:szCs w:val="28"/>
              </w:rPr>
              <w:t>ỦY BAN NHÂN DÂN</w:t>
            </w:r>
          </w:p>
          <w:p w14:paraId="10E71A12" w14:textId="77777777" w:rsidR="008C6770" w:rsidRDefault="008C6770" w:rsidP="008C6770">
            <w:pPr>
              <w:spacing w:line="264" w:lineRule="auto"/>
              <w:jc w:val="center"/>
              <w:rPr>
                <w:b/>
                <w:sz w:val="28"/>
                <w:szCs w:val="28"/>
              </w:rPr>
            </w:pPr>
            <w:r>
              <w:rPr>
                <w:b/>
                <w:sz w:val="28"/>
                <w:szCs w:val="28"/>
              </w:rPr>
              <w:t>TỈNH LÂM ĐỒNG</w:t>
            </w:r>
          </w:p>
          <w:p w14:paraId="55AC47A3" w14:textId="5A9D766C" w:rsidR="008C6770" w:rsidRDefault="004419F2" w:rsidP="008C6770">
            <w:pPr>
              <w:spacing w:line="264" w:lineRule="auto"/>
              <w:rPr>
                <w:b/>
                <w:sz w:val="28"/>
                <w:szCs w:val="28"/>
              </w:rPr>
            </w:pPr>
            <w:r>
              <w:rPr>
                <w:b/>
                <w:noProof/>
                <w:sz w:val="28"/>
                <w:szCs w:val="28"/>
                <w14:ligatures w14:val="standardContextual"/>
              </w:rPr>
              <mc:AlternateContent>
                <mc:Choice Requires="wps">
                  <w:drawing>
                    <wp:anchor distT="0" distB="0" distL="114300" distR="114300" simplePos="0" relativeHeight="251660288" behindDoc="0" locked="0" layoutInCell="1" allowOverlap="1" wp14:anchorId="65D4F010" wp14:editId="3B628E7D">
                      <wp:simplePos x="0" y="0"/>
                      <wp:positionH relativeFrom="column">
                        <wp:posOffset>719455</wp:posOffset>
                      </wp:positionH>
                      <wp:positionV relativeFrom="paragraph">
                        <wp:posOffset>43180</wp:posOffset>
                      </wp:positionV>
                      <wp:extent cx="9372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937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0660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65pt,3.4pt" to="130.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" strokecolor="#4472c4 [3204]" strokeweight=".5pt">
                      <v:stroke joinstyle="miter"/>
                    </v:line>
                  </w:pict>
                </mc:Fallback>
              </mc:AlternateContent>
            </w:r>
          </w:p>
        </w:tc>
        <w:tc>
          <w:tcPr>
            <w:tcW w:w="8505" w:type="dxa"/>
          </w:tcPr>
          <w:p w14:paraId="16148C42" w14:textId="77777777" w:rsidR="008C6770" w:rsidRPr="00280C9B" w:rsidRDefault="008C6770" w:rsidP="008C6770">
            <w:pPr>
              <w:jc w:val="center"/>
              <w:rPr>
                <w:b/>
                <w:sz w:val="26"/>
                <w:szCs w:val="28"/>
              </w:rPr>
            </w:pPr>
            <w:r w:rsidRPr="00280C9B">
              <w:rPr>
                <w:b/>
                <w:sz w:val="26"/>
                <w:szCs w:val="28"/>
              </w:rPr>
              <w:t>CỘNG HÒA XÃ HỘI CHỦ NGHĨA VIỆT NAM</w:t>
            </w:r>
          </w:p>
          <w:p w14:paraId="4D450BE9" w14:textId="5DA988E5" w:rsidR="008C6770" w:rsidRDefault="004419F2" w:rsidP="008C6770">
            <w:pPr>
              <w:spacing w:line="264" w:lineRule="auto"/>
              <w:jc w:val="center"/>
              <w:rPr>
                <w:b/>
                <w:sz w:val="28"/>
                <w:szCs w:val="28"/>
              </w:rPr>
            </w:pPr>
            <w:r>
              <w:rPr>
                <w:b/>
                <w:noProof/>
                <w:sz w:val="28"/>
                <w:szCs w:val="28"/>
                <w14:ligatures w14:val="standardContextual"/>
              </w:rPr>
              <mc:AlternateContent>
                <mc:Choice Requires="wps">
                  <w:drawing>
                    <wp:anchor distT="0" distB="0" distL="114300" distR="114300" simplePos="0" relativeHeight="251659264" behindDoc="0" locked="0" layoutInCell="1" allowOverlap="1" wp14:anchorId="4BF5A6A9" wp14:editId="6D933336">
                      <wp:simplePos x="0" y="0"/>
                      <wp:positionH relativeFrom="column">
                        <wp:posOffset>1524635</wp:posOffset>
                      </wp:positionH>
                      <wp:positionV relativeFrom="paragraph">
                        <wp:posOffset>241935</wp:posOffset>
                      </wp:positionV>
                      <wp:extent cx="21945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BB9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05pt,19.05pt" to="292.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" strokecolor="#4472c4 [3204]" strokeweight=".5pt">
                      <v:stroke joinstyle="miter"/>
                    </v:line>
                  </w:pict>
                </mc:Fallback>
              </mc:AlternateContent>
            </w:r>
            <w:r w:rsidR="008C6770" w:rsidRPr="00280C9B">
              <w:rPr>
                <w:b/>
                <w:sz w:val="28"/>
                <w:szCs w:val="28"/>
              </w:rPr>
              <w:t>Độc lập – Tự do – Hạnh phúc</w:t>
            </w:r>
          </w:p>
        </w:tc>
      </w:tr>
    </w:tbl>
    <w:p w14:paraId="514B99F2" w14:textId="77777777" w:rsidR="008C6770" w:rsidRDefault="008C6770" w:rsidP="008C6770">
      <w:pPr>
        <w:spacing w:line="264" w:lineRule="auto"/>
        <w:rPr>
          <w:b/>
          <w:sz w:val="28"/>
          <w:szCs w:val="28"/>
        </w:rPr>
      </w:pPr>
    </w:p>
    <w:p w14:paraId="557EFE46" w14:textId="053C0487" w:rsidR="00807B48" w:rsidRPr="00AF0C86" w:rsidRDefault="00807B48" w:rsidP="00807B48">
      <w:pPr>
        <w:spacing w:line="264" w:lineRule="auto"/>
        <w:jc w:val="center"/>
        <w:rPr>
          <w:b/>
          <w:sz w:val="28"/>
          <w:szCs w:val="28"/>
        </w:rPr>
      </w:pPr>
      <w:r w:rsidRPr="00AF0C86">
        <w:rPr>
          <w:b/>
          <w:sz w:val="28"/>
          <w:szCs w:val="28"/>
        </w:rPr>
        <w:t xml:space="preserve">DANH MỤC TỔNG HỢP KẾT QUẢ RÀ SOÁT </w:t>
      </w:r>
      <w:r w:rsidR="00C16756">
        <w:rPr>
          <w:b/>
          <w:sz w:val="28"/>
          <w:szCs w:val="28"/>
        </w:rPr>
        <w:t>CÁC QUY ĐỊNH</w:t>
      </w:r>
      <w:r>
        <w:rPr>
          <w:b/>
          <w:sz w:val="28"/>
          <w:szCs w:val="28"/>
        </w:rPr>
        <w:t xml:space="preserve"> PHÁP LUẬT</w:t>
      </w:r>
      <w:r w:rsidR="00C16756">
        <w:rPr>
          <w:b/>
          <w:sz w:val="28"/>
          <w:szCs w:val="28"/>
        </w:rPr>
        <w:t xml:space="preserve"> CÓ MÂU THUẪN, CHỒNG CHÉO, THIẾU KHẢ THI VÀ ĐỀ XUẤT KIẾN NGHỊ</w:t>
      </w:r>
    </w:p>
    <w:p w14:paraId="03EDA54A" w14:textId="21CA944D" w:rsidR="00807B48" w:rsidRDefault="00807B48" w:rsidP="00807B48">
      <w:pPr>
        <w:spacing w:line="264" w:lineRule="auto"/>
        <w:jc w:val="center"/>
        <w:rPr>
          <w:i/>
          <w:sz w:val="28"/>
          <w:szCs w:val="28"/>
        </w:rPr>
      </w:pPr>
      <w:r w:rsidRPr="00AF0C86">
        <w:rPr>
          <w:i/>
          <w:sz w:val="28"/>
          <w:szCs w:val="28"/>
        </w:rPr>
        <w:t>(Kèm theo báo cáo số              /BC-UBND ngày                 của Ủy ban nhân dân tỉnh Lâm Đồng)</w:t>
      </w:r>
    </w:p>
    <w:p w14:paraId="22076A11" w14:textId="77777777" w:rsidR="00AC5E8F" w:rsidRPr="00AF0C86" w:rsidRDefault="00AC5E8F" w:rsidP="00807B48">
      <w:pPr>
        <w:spacing w:line="264" w:lineRule="auto"/>
        <w:jc w:val="center"/>
        <w:rPr>
          <w:i/>
          <w:sz w:val="28"/>
          <w:szCs w:val="28"/>
        </w:rPr>
      </w:pPr>
    </w:p>
    <w:tbl>
      <w:tblPr>
        <w:tblStyle w:val="TableGrid"/>
        <w:tblW w:w="13075" w:type="dxa"/>
        <w:tblLook w:val="04A0" w:firstRow="1" w:lastRow="0" w:firstColumn="1" w:lastColumn="0" w:noHBand="0" w:noVBand="1"/>
      </w:tblPr>
      <w:tblGrid>
        <w:gridCol w:w="704"/>
        <w:gridCol w:w="2590"/>
        <w:gridCol w:w="4923"/>
        <w:gridCol w:w="2268"/>
        <w:gridCol w:w="2590"/>
      </w:tblGrid>
      <w:tr w:rsidR="00807B48" w14:paraId="412578F5" w14:textId="77777777" w:rsidTr="00807B48">
        <w:tc>
          <w:tcPr>
            <w:tcW w:w="704" w:type="dxa"/>
          </w:tcPr>
          <w:p w14:paraId="0F5CE069" w14:textId="467E9472" w:rsidR="00807B48" w:rsidRPr="00AC5E8F" w:rsidRDefault="00807B48" w:rsidP="00AC5E8F">
            <w:pPr>
              <w:jc w:val="both"/>
              <w:rPr>
                <w:sz w:val="22"/>
                <w:szCs w:val="22"/>
              </w:rPr>
            </w:pPr>
            <w:r w:rsidRPr="00AC5E8F">
              <w:rPr>
                <w:b/>
                <w:iCs/>
                <w:sz w:val="22"/>
                <w:szCs w:val="22"/>
              </w:rPr>
              <w:t>STT</w:t>
            </w:r>
          </w:p>
        </w:tc>
        <w:tc>
          <w:tcPr>
            <w:tcW w:w="2590" w:type="dxa"/>
          </w:tcPr>
          <w:p w14:paraId="7919E4AC" w14:textId="0111BFD8" w:rsidR="00807B48" w:rsidRPr="00AC5E8F" w:rsidRDefault="00807B48" w:rsidP="00AC5E8F">
            <w:pPr>
              <w:jc w:val="both"/>
              <w:rPr>
                <w:sz w:val="22"/>
                <w:szCs w:val="22"/>
              </w:rPr>
            </w:pPr>
            <w:r w:rsidRPr="00AC5E8F">
              <w:rPr>
                <w:b/>
                <w:iCs/>
                <w:sz w:val="22"/>
                <w:szCs w:val="22"/>
              </w:rPr>
              <w:t>Tên văn bản cần xử lý</w:t>
            </w:r>
          </w:p>
        </w:tc>
        <w:tc>
          <w:tcPr>
            <w:tcW w:w="4923" w:type="dxa"/>
          </w:tcPr>
          <w:p w14:paraId="71669417" w14:textId="20F98090" w:rsidR="00807B48" w:rsidRPr="00AC5E8F" w:rsidRDefault="00807B48" w:rsidP="00AC5E8F">
            <w:pPr>
              <w:jc w:val="both"/>
              <w:rPr>
                <w:sz w:val="22"/>
                <w:szCs w:val="22"/>
              </w:rPr>
            </w:pPr>
            <w:r w:rsidRPr="00AC5E8F">
              <w:rPr>
                <w:b/>
                <w:iCs/>
                <w:sz w:val="22"/>
                <w:szCs w:val="22"/>
              </w:rPr>
              <w:t>Nội dung kiến ng</w:t>
            </w:r>
            <w:bookmarkStart w:id="0" w:name="_GoBack"/>
            <w:bookmarkEnd w:id="0"/>
            <w:r w:rsidRPr="00AC5E8F">
              <w:rPr>
                <w:b/>
                <w:iCs/>
                <w:sz w:val="22"/>
                <w:szCs w:val="22"/>
              </w:rPr>
              <w:t>hị, phản ánh</w:t>
            </w:r>
          </w:p>
        </w:tc>
        <w:tc>
          <w:tcPr>
            <w:tcW w:w="2268" w:type="dxa"/>
          </w:tcPr>
          <w:p w14:paraId="074C2F12" w14:textId="1EC5C58B" w:rsidR="00807B48" w:rsidRPr="00AC5E8F" w:rsidRDefault="00807B48" w:rsidP="00AC5E8F">
            <w:pPr>
              <w:jc w:val="both"/>
              <w:rPr>
                <w:sz w:val="22"/>
                <w:szCs w:val="22"/>
              </w:rPr>
            </w:pPr>
            <w:r w:rsidRPr="00AC5E8F">
              <w:rPr>
                <w:b/>
                <w:iCs/>
                <w:sz w:val="22"/>
                <w:szCs w:val="22"/>
              </w:rPr>
              <w:t>Phương án xử lý</w:t>
            </w:r>
          </w:p>
        </w:tc>
        <w:tc>
          <w:tcPr>
            <w:tcW w:w="2590" w:type="dxa"/>
          </w:tcPr>
          <w:p w14:paraId="10B66AA2" w14:textId="24383170" w:rsidR="00807B48" w:rsidRPr="00AC5E8F" w:rsidRDefault="00807B48" w:rsidP="00AC5E8F">
            <w:pPr>
              <w:jc w:val="both"/>
              <w:rPr>
                <w:sz w:val="22"/>
                <w:szCs w:val="22"/>
              </w:rPr>
            </w:pPr>
            <w:r w:rsidRPr="00AC5E8F">
              <w:rPr>
                <w:b/>
                <w:sz w:val="22"/>
                <w:szCs w:val="22"/>
              </w:rPr>
              <w:t>Bộ, cơ quan ngang bộ được giao quản lý nhà nước</w:t>
            </w:r>
          </w:p>
        </w:tc>
      </w:tr>
      <w:tr w:rsidR="00807B48" w14:paraId="627EA57F" w14:textId="77777777" w:rsidTr="009B5CF2">
        <w:tc>
          <w:tcPr>
            <w:tcW w:w="13075" w:type="dxa"/>
            <w:gridSpan w:val="5"/>
          </w:tcPr>
          <w:p w14:paraId="4F7BFBFB" w14:textId="47E75E25" w:rsidR="00807B48" w:rsidRPr="00F2360C" w:rsidRDefault="00C16756" w:rsidP="00C16756">
            <w:pPr>
              <w:rPr>
                <w:b/>
                <w:bCs/>
                <w:sz w:val="22"/>
                <w:szCs w:val="22"/>
              </w:rPr>
            </w:pPr>
            <w:r>
              <w:rPr>
                <w:b/>
                <w:bCs/>
                <w:sz w:val="22"/>
                <w:szCs w:val="22"/>
              </w:rPr>
              <w:t xml:space="preserve">I. </w:t>
            </w:r>
            <w:r w:rsidR="00807B48" w:rsidRPr="00F2360C">
              <w:rPr>
                <w:b/>
                <w:bCs/>
                <w:sz w:val="22"/>
                <w:szCs w:val="22"/>
              </w:rPr>
              <w:t>LĨNH VỰC ĐẦU TƯ</w:t>
            </w:r>
          </w:p>
        </w:tc>
      </w:tr>
      <w:tr w:rsidR="00807B48" w14:paraId="5CA2DDC0" w14:textId="77777777" w:rsidTr="00807B48">
        <w:tc>
          <w:tcPr>
            <w:tcW w:w="704" w:type="dxa"/>
          </w:tcPr>
          <w:p w14:paraId="278249A7" w14:textId="77777777" w:rsidR="00C16756" w:rsidRDefault="00C16756" w:rsidP="000D23DC">
            <w:pPr>
              <w:jc w:val="center"/>
              <w:rPr>
                <w:sz w:val="22"/>
                <w:szCs w:val="22"/>
              </w:rPr>
            </w:pPr>
          </w:p>
          <w:p w14:paraId="2F9FE6C2" w14:textId="7E373893" w:rsidR="00807B48" w:rsidRPr="00AC5E8F" w:rsidRDefault="00F2360C" w:rsidP="000D23DC">
            <w:pPr>
              <w:jc w:val="center"/>
              <w:rPr>
                <w:sz w:val="22"/>
                <w:szCs w:val="22"/>
              </w:rPr>
            </w:pPr>
            <w:r>
              <w:rPr>
                <w:sz w:val="22"/>
                <w:szCs w:val="22"/>
              </w:rPr>
              <w:t>1</w:t>
            </w:r>
          </w:p>
        </w:tc>
        <w:tc>
          <w:tcPr>
            <w:tcW w:w="2590" w:type="dxa"/>
          </w:tcPr>
          <w:p w14:paraId="2464705A" w14:textId="58FD8A3C" w:rsidR="00807B48" w:rsidRPr="00AC5E8F" w:rsidRDefault="00807B48" w:rsidP="00AC5E8F">
            <w:pPr>
              <w:jc w:val="both"/>
              <w:rPr>
                <w:sz w:val="22"/>
                <w:szCs w:val="22"/>
              </w:rPr>
            </w:pPr>
            <w:r w:rsidRPr="00AC5E8F">
              <w:rPr>
                <w:b/>
                <w:color w:val="000000" w:themeColor="text1"/>
                <w:sz w:val="22"/>
                <w:szCs w:val="22"/>
              </w:rPr>
              <w:t>Luật Đầu tư công năm 2019</w:t>
            </w:r>
          </w:p>
        </w:tc>
        <w:tc>
          <w:tcPr>
            <w:tcW w:w="4923" w:type="dxa"/>
          </w:tcPr>
          <w:p w14:paraId="3C36F84C" w14:textId="5CE37FF4" w:rsidR="00B22D92" w:rsidRPr="00AC5E8F" w:rsidRDefault="00C16756" w:rsidP="00AC5E8F">
            <w:pPr>
              <w:jc w:val="both"/>
              <w:rPr>
                <w:noProof/>
                <w:sz w:val="22"/>
                <w:szCs w:val="22"/>
              </w:rPr>
            </w:pPr>
            <w:r>
              <w:rPr>
                <w:noProof/>
                <w:sz w:val="22"/>
                <w:szCs w:val="22"/>
              </w:rPr>
              <w:t>K</w:t>
            </w:r>
            <w:r w:rsidR="00B22D92" w:rsidRPr="00AC5E8F">
              <w:rPr>
                <w:noProof/>
                <w:sz w:val="22"/>
                <w:szCs w:val="22"/>
              </w:rPr>
              <w:t>hoản 2 Điều 16 Luật Đầu tư công năm 2019 chưa quy định rõ khi thay đổi mục tiêu, phạm vi, quy mô (không vượt tổng mức đầu tư) thì có phải trình cấp có thẩm quyền  điều chỉnh quyết định đầu tư để không phải rơi vào các hành vi bị nghiêm cấm trong đầu tư công</w:t>
            </w:r>
          </w:p>
        </w:tc>
        <w:tc>
          <w:tcPr>
            <w:tcW w:w="2268" w:type="dxa"/>
          </w:tcPr>
          <w:p w14:paraId="23E06004" w14:textId="10E70DEC" w:rsidR="00807B48" w:rsidRPr="00AC5E8F" w:rsidRDefault="00B22D92" w:rsidP="00AC5E8F">
            <w:pPr>
              <w:jc w:val="both"/>
              <w:rPr>
                <w:sz w:val="22"/>
                <w:szCs w:val="22"/>
              </w:rPr>
            </w:pPr>
            <w:r w:rsidRPr="00AC5E8F">
              <w:rPr>
                <w:noProof/>
                <w:sz w:val="22"/>
                <w:szCs w:val="22"/>
              </w:rPr>
              <w:t>Đề nghị ban hành Thông tư hướng dẫn</w:t>
            </w:r>
          </w:p>
        </w:tc>
        <w:tc>
          <w:tcPr>
            <w:tcW w:w="2590" w:type="dxa"/>
          </w:tcPr>
          <w:p w14:paraId="71D03C36" w14:textId="0603AABD" w:rsidR="00807B48" w:rsidRPr="00AC5E8F" w:rsidRDefault="00AC5E8F" w:rsidP="00AC5E8F">
            <w:pPr>
              <w:jc w:val="both"/>
              <w:rPr>
                <w:sz w:val="22"/>
                <w:szCs w:val="22"/>
              </w:rPr>
            </w:pPr>
            <w:r w:rsidRPr="00AC5E8F">
              <w:rPr>
                <w:sz w:val="22"/>
                <w:szCs w:val="22"/>
              </w:rPr>
              <w:t>Bộ Kế hoạch và Đầu tư</w:t>
            </w:r>
          </w:p>
        </w:tc>
      </w:tr>
      <w:tr w:rsidR="00C16756" w14:paraId="37B5F18F" w14:textId="77777777" w:rsidTr="00807B48">
        <w:tc>
          <w:tcPr>
            <w:tcW w:w="704" w:type="dxa"/>
          </w:tcPr>
          <w:p w14:paraId="0DE59CF3" w14:textId="77777777" w:rsidR="00C16756" w:rsidRDefault="00C16756" w:rsidP="000D23DC">
            <w:pPr>
              <w:jc w:val="center"/>
              <w:rPr>
                <w:sz w:val="22"/>
                <w:szCs w:val="22"/>
              </w:rPr>
            </w:pPr>
          </w:p>
        </w:tc>
        <w:tc>
          <w:tcPr>
            <w:tcW w:w="2590" w:type="dxa"/>
          </w:tcPr>
          <w:p w14:paraId="3CC2CDE0" w14:textId="77777777" w:rsidR="00C16756" w:rsidRPr="00AC5E8F" w:rsidRDefault="00C16756" w:rsidP="00AC5E8F">
            <w:pPr>
              <w:jc w:val="both"/>
              <w:rPr>
                <w:b/>
                <w:color w:val="000000" w:themeColor="text1"/>
                <w:sz w:val="22"/>
                <w:szCs w:val="22"/>
              </w:rPr>
            </w:pPr>
          </w:p>
        </w:tc>
        <w:tc>
          <w:tcPr>
            <w:tcW w:w="4923" w:type="dxa"/>
          </w:tcPr>
          <w:p w14:paraId="1860DBAD" w14:textId="3DD4DDC2" w:rsidR="00C16756" w:rsidRDefault="00C16756" w:rsidP="00C16756">
            <w:pPr>
              <w:pStyle w:val="NormalWeb"/>
              <w:shd w:val="clear" w:color="auto" w:fill="FFFFFF"/>
              <w:tabs>
                <w:tab w:val="left" w:pos="13287"/>
                <w:tab w:val="right" w:pos="13467"/>
              </w:tabs>
              <w:spacing w:before="120" w:beforeAutospacing="0" w:after="120" w:afterAutospacing="0" w:line="264" w:lineRule="auto"/>
              <w:contextualSpacing/>
              <w:jc w:val="both"/>
              <w:rPr>
                <w:noProof/>
                <w:sz w:val="22"/>
                <w:szCs w:val="22"/>
              </w:rPr>
            </w:pPr>
            <w:r w:rsidRPr="00AC5E8F">
              <w:rPr>
                <w:color w:val="000000" w:themeColor="text1"/>
                <w:sz w:val="22"/>
                <w:szCs w:val="22"/>
              </w:rPr>
              <w:t>- K</w:t>
            </w:r>
            <w:r w:rsidRPr="00AC5E8F">
              <w:rPr>
                <w:color w:val="000000"/>
                <w:sz w:val="22"/>
                <w:szCs w:val="22"/>
              </w:rPr>
              <w:t>hoản 5 Điều 40 Luật Đầu tư công, thẩm quyền phê duyệt là người đứng đầu Bộ, cơ quan trung ương, Chủ tịch ủy ban nhân dân các cấp, đồng thời, quyết định thành lập Hội đồng thẩm định hoặc giao cơ quan chuyên môn quản lý đầu tư công tổ chức thẩm định dự toán nhiệm vụ chuẩn bị đầu tư, nhiệm vụ quy hoạch.</w:t>
            </w:r>
          </w:p>
        </w:tc>
        <w:tc>
          <w:tcPr>
            <w:tcW w:w="2268" w:type="dxa"/>
          </w:tcPr>
          <w:p w14:paraId="49F0C73A" w14:textId="77777777" w:rsidR="00C16756" w:rsidRPr="00AC5E8F" w:rsidRDefault="00C16756" w:rsidP="00C16756">
            <w:pPr>
              <w:pStyle w:val="ListParagraph"/>
              <w:spacing w:line="264" w:lineRule="auto"/>
              <w:ind w:left="0" w:right="57"/>
              <w:jc w:val="both"/>
              <w:rPr>
                <w:color w:val="000000"/>
                <w:sz w:val="22"/>
                <w:szCs w:val="22"/>
              </w:rPr>
            </w:pPr>
            <w:r w:rsidRPr="00AC5E8F">
              <w:rPr>
                <w:color w:val="000000"/>
                <w:sz w:val="22"/>
                <w:szCs w:val="22"/>
              </w:rPr>
              <w:t>Kiến nghị sửa đổi khoản 5 Điều 40 Luật Đầu tư công theo hướng giao thêm cho chủ đầu tư thẩm định và phê duyệt dự toán chuẩn bị đầu tư.</w:t>
            </w:r>
          </w:p>
          <w:p w14:paraId="56D83265" w14:textId="77777777" w:rsidR="00C16756" w:rsidRPr="00AC5E8F" w:rsidRDefault="00C16756" w:rsidP="00AC5E8F">
            <w:pPr>
              <w:jc w:val="both"/>
              <w:rPr>
                <w:noProof/>
                <w:sz w:val="22"/>
                <w:szCs w:val="22"/>
              </w:rPr>
            </w:pPr>
          </w:p>
        </w:tc>
        <w:tc>
          <w:tcPr>
            <w:tcW w:w="2590" w:type="dxa"/>
          </w:tcPr>
          <w:p w14:paraId="3F122F86" w14:textId="77777777" w:rsidR="00C16756" w:rsidRPr="00AC5E8F" w:rsidRDefault="00C16756" w:rsidP="00AC5E8F">
            <w:pPr>
              <w:jc w:val="both"/>
              <w:rPr>
                <w:sz w:val="22"/>
                <w:szCs w:val="22"/>
              </w:rPr>
            </w:pPr>
          </w:p>
        </w:tc>
      </w:tr>
      <w:tr w:rsidR="00AC5E8F" w14:paraId="14C508EA" w14:textId="77777777" w:rsidTr="00807B48">
        <w:tc>
          <w:tcPr>
            <w:tcW w:w="704" w:type="dxa"/>
          </w:tcPr>
          <w:p w14:paraId="40DA9A5A" w14:textId="77777777" w:rsidR="00C16756" w:rsidRDefault="00C16756" w:rsidP="000D23DC">
            <w:pPr>
              <w:jc w:val="center"/>
              <w:rPr>
                <w:sz w:val="22"/>
                <w:szCs w:val="22"/>
              </w:rPr>
            </w:pPr>
          </w:p>
          <w:p w14:paraId="05F9DF5B" w14:textId="4C505506" w:rsidR="00AC5E8F" w:rsidRPr="00AC5E8F" w:rsidRDefault="00F2360C" w:rsidP="000D23DC">
            <w:pPr>
              <w:jc w:val="center"/>
              <w:rPr>
                <w:sz w:val="22"/>
                <w:szCs w:val="22"/>
              </w:rPr>
            </w:pPr>
            <w:r>
              <w:rPr>
                <w:sz w:val="22"/>
                <w:szCs w:val="22"/>
              </w:rPr>
              <w:t>2</w:t>
            </w:r>
          </w:p>
        </w:tc>
        <w:tc>
          <w:tcPr>
            <w:tcW w:w="2590" w:type="dxa"/>
          </w:tcPr>
          <w:p w14:paraId="5DFA5FE7" w14:textId="27B39C8D" w:rsidR="00AC5E8F" w:rsidRPr="00AC5E8F" w:rsidRDefault="00AC5E8F" w:rsidP="00AC5E8F">
            <w:pPr>
              <w:jc w:val="both"/>
              <w:rPr>
                <w:b/>
                <w:color w:val="000000" w:themeColor="text1"/>
                <w:sz w:val="22"/>
                <w:szCs w:val="22"/>
              </w:rPr>
            </w:pPr>
            <w:r w:rsidRPr="00AC5E8F">
              <w:rPr>
                <w:b/>
                <w:bCs/>
                <w:sz w:val="22"/>
                <w:szCs w:val="22"/>
              </w:rPr>
              <w:t>Nghị định số 99/2021/NĐ-CP ngày 11/11/2021 của Chính phủ quy định về quản lý, thanh toán, quyết toán dự án sử dụng vốn đầu tư công</w:t>
            </w:r>
          </w:p>
        </w:tc>
        <w:tc>
          <w:tcPr>
            <w:tcW w:w="4923" w:type="dxa"/>
          </w:tcPr>
          <w:p w14:paraId="693E0372" w14:textId="30899F1F" w:rsidR="00AC5E8F" w:rsidRPr="00AC5E8F" w:rsidRDefault="00AC5E8F" w:rsidP="00AC5E8F">
            <w:pPr>
              <w:jc w:val="both"/>
              <w:rPr>
                <w:noProof/>
                <w:sz w:val="22"/>
                <w:szCs w:val="22"/>
              </w:rPr>
            </w:pPr>
            <w:r w:rsidRPr="00AC5E8F">
              <w:rPr>
                <w:sz w:val="22"/>
                <w:szCs w:val="22"/>
              </w:rPr>
              <w:t>Nghị định số 99/2021/NĐ-CP chưa quy định về quyết toán vốn đầu tư dự án hoàn thành hoặc dừng vĩnh viễn đối với dự án sử dụng vốn nhà nước ngoài đầu tư công</w:t>
            </w:r>
          </w:p>
        </w:tc>
        <w:tc>
          <w:tcPr>
            <w:tcW w:w="2268" w:type="dxa"/>
          </w:tcPr>
          <w:p w14:paraId="0B172726" w14:textId="2AAA3032" w:rsidR="00AC5E8F" w:rsidRPr="00AC5E8F" w:rsidRDefault="00AC5E8F" w:rsidP="00AC5E8F">
            <w:pPr>
              <w:jc w:val="both"/>
              <w:rPr>
                <w:noProof/>
                <w:sz w:val="22"/>
                <w:szCs w:val="22"/>
              </w:rPr>
            </w:pPr>
            <w:r w:rsidRPr="00AC5E8F">
              <w:rPr>
                <w:sz w:val="22"/>
                <w:szCs w:val="22"/>
              </w:rPr>
              <w:t>Kiến nghị ban hành Thông tư hướng dẫn Nghị định số 99/2021/NĐ-CP ngày 11/11/2021 của Chính phủ quy định về quản lý, thanh toán, quyết toán dự án sử dụng vốn đầu tư công</w:t>
            </w:r>
          </w:p>
        </w:tc>
        <w:tc>
          <w:tcPr>
            <w:tcW w:w="2590" w:type="dxa"/>
          </w:tcPr>
          <w:p w14:paraId="4382DF46" w14:textId="77777777" w:rsidR="009D6FBC" w:rsidRDefault="009D6FBC" w:rsidP="00AC5E8F">
            <w:pPr>
              <w:jc w:val="both"/>
              <w:rPr>
                <w:sz w:val="22"/>
                <w:szCs w:val="22"/>
              </w:rPr>
            </w:pPr>
            <w:r>
              <w:rPr>
                <w:iCs/>
              </w:rPr>
              <w:t>Bộ Tài chính</w:t>
            </w:r>
            <w:r w:rsidRPr="00AC5E8F">
              <w:rPr>
                <w:sz w:val="22"/>
                <w:szCs w:val="22"/>
              </w:rPr>
              <w:t xml:space="preserve"> </w:t>
            </w:r>
          </w:p>
          <w:p w14:paraId="1245A484" w14:textId="52A29D8C" w:rsidR="00AC5E8F" w:rsidRPr="00AC5E8F" w:rsidRDefault="00AC5E8F" w:rsidP="00AC5E8F">
            <w:pPr>
              <w:jc w:val="both"/>
              <w:rPr>
                <w:sz w:val="22"/>
                <w:szCs w:val="22"/>
              </w:rPr>
            </w:pPr>
            <w:r w:rsidRPr="00AC5E8F">
              <w:rPr>
                <w:sz w:val="22"/>
                <w:szCs w:val="22"/>
              </w:rPr>
              <w:t>Bộ Kế hoạch và Đầu tư</w:t>
            </w:r>
          </w:p>
        </w:tc>
      </w:tr>
      <w:tr w:rsidR="00AC5E8F" w14:paraId="3C5D4547" w14:textId="77777777" w:rsidTr="00807B48">
        <w:tc>
          <w:tcPr>
            <w:tcW w:w="704" w:type="dxa"/>
          </w:tcPr>
          <w:p w14:paraId="0F9DDA89" w14:textId="77777777" w:rsidR="00C16756" w:rsidRDefault="00C16756" w:rsidP="000D23DC">
            <w:pPr>
              <w:jc w:val="center"/>
              <w:rPr>
                <w:sz w:val="22"/>
                <w:szCs w:val="22"/>
              </w:rPr>
            </w:pPr>
          </w:p>
          <w:p w14:paraId="7CC6AF2A" w14:textId="1D603A00" w:rsidR="00AC5E8F" w:rsidRPr="00AC5E8F" w:rsidRDefault="00F2360C" w:rsidP="000D23DC">
            <w:pPr>
              <w:jc w:val="center"/>
              <w:rPr>
                <w:sz w:val="22"/>
                <w:szCs w:val="22"/>
              </w:rPr>
            </w:pPr>
            <w:r>
              <w:rPr>
                <w:sz w:val="22"/>
                <w:szCs w:val="22"/>
              </w:rPr>
              <w:t>3</w:t>
            </w:r>
          </w:p>
        </w:tc>
        <w:tc>
          <w:tcPr>
            <w:tcW w:w="2590" w:type="dxa"/>
          </w:tcPr>
          <w:p w14:paraId="6D3AD65E" w14:textId="2069DED6" w:rsidR="00AC5E8F" w:rsidRPr="00AC5E8F" w:rsidRDefault="00AC5E8F" w:rsidP="00AC5E8F">
            <w:pPr>
              <w:jc w:val="both"/>
              <w:rPr>
                <w:b/>
                <w:bCs/>
                <w:sz w:val="22"/>
                <w:szCs w:val="22"/>
              </w:rPr>
            </w:pPr>
            <w:r w:rsidRPr="00AC5E8F">
              <w:rPr>
                <w:b/>
                <w:bCs/>
                <w:noProof/>
                <w:sz w:val="22"/>
                <w:szCs w:val="22"/>
              </w:rPr>
              <w:t xml:space="preserve">Nghị định số 40/2020/NĐ-CP ngày 06/04/2020 của Chính phủ quy định chi tiết thi hành một số điều của Luật </w:t>
            </w:r>
            <w:r w:rsidR="00C16756" w:rsidRPr="00AC5E8F">
              <w:rPr>
                <w:b/>
                <w:color w:val="000000" w:themeColor="text1"/>
                <w:sz w:val="22"/>
                <w:szCs w:val="22"/>
              </w:rPr>
              <w:t>Đầu</w:t>
            </w:r>
            <w:r w:rsidRPr="00AC5E8F">
              <w:rPr>
                <w:b/>
                <w:bCs/>
                <w:noProof/>
                <w:sz w:val="22"/>
                <w:szCs w:val="22"/>
              </w:rPr>
              <w:t xml:space="preserve"> tư công</w:t>
            </w:r>
          </w:p>
        </w:tc>
        <w:tc>
          <w:tcPr>
            <w:tcW w:w="4923" w:type="dxa"/>
          </w:tcPr>
          <w:p w14:paraId="053EB496" w14:textId="143BDE43" w:rsidR="00AC5E8F" w:rsidRPr="00AC5E8F" w:rsidRDefault="00C16756" w:rsidP="00AC5E8F">
            <w:pPr>
              <w:jc w:val="both"/>
              <w:rPr>
                <w:sz w:val="22"/>
                <w:szCs w:val="22"/>
              </w:rPr>
            </w:pPr>
            <w:r>
              <w:rPr>
                <w:sz w:val="22"/>
                <w:szCs w:val="22"/>
              </w:rPr>
              <w:t>K</w:t>
            </w:r>
            <w:r w:rsidR="00AC5E8F" w:rsidRPr="00AC5E8F">
              <w:rPr>
                <w:sz w:val="22"/>
                <w:szCs w:val="22"/>
              </w:rPr>
              <w:t>hoản 2 Điều 29 Chương IV Nghị định số 40/2020/NĐ-CP chưa quy định rõ thế nào là thiết kế 01 bước, thiết kế 02 bước và đơn vị có chức năng được giao nhiệm vụ chủ trì là ai đối với dự án đầu tư công không có cấu phần xây dựng</w:t>
            </w:r>
          </w:p>
        </w:tc>
        <w:tc>
          <w:tcPr>
            <w:tcW w:w="2268" w:type="dxa"/>
          </w:tcPr>
          <w:p w14:paraId="51A28947" w14:textId="404DA81D" w:rsidR="00AC5E8F" w:rsidRPr="00AC5E8F" w:rsidRDefault="00AC5E8F" w:rsidP="00AC5E8F">
            <w:pPr>
              <w:jc w:val="both"/>
              <w:rPr>
                <w:sz w:val="22"/>
                <w:szCs w:val="22"/>
              </w:rPr>
            </w:pPr>
            <w:r w:rsidRPr="00AC5E8F">
              <w:rPr>
                <w:sz w:val="22"/>
                <w:szCs w:val="22"/>
              </w:rPr>
              <w:t>Kiến nghị ban hành Thông tư hướng dẫn Nghị định số 40/2020/NĐ-CP ngày 06/04/2020 của Chính phủ quy định chi tiết thi hành một số điều của Luật đầu tư công</w:t>
            </w:r>
          </w:p>
        </w:tc>
        <w:tc>
          <w:tcPr>
            <w:tcW w:w="2590" w:type="dxa"/>
          </w:tcPr>
          <w:p w14:paraId="637937C4" w14:textId="697C0961" w:rsidR="00AC5E8F" w:rsidRPr="00AC5E8F" w:rsidRDefault="00AC5E8F" w:rsidP="00AC5E8F">
            <w:pPr>
              <w:jc w:val="both"/>
              <w:rPr>
                <w:sz w:val="22"/>
                <w:szCs w:val="22"/>
              </w:rPr>
            </w:pPr>
            <w:r w:rsidRPr="00AC5E8F">
              <w:rPr>
                <w:sz w:val="22"/>
                <w:szCs w:val="22"/>
              </w:rPr>
              <w:t>Bộ Kế hoạch và Đầu tư</w:t>
            </w:r>
          </w:p>
        </w:tc>
      </w:tr>
      <w:tr w:rsidR="00AC5E8F" w14:paraId="6AC44175" w14:textId="77777777" w:rsidTr="00807B48">
        <w:tc>
          <w:tcPr>
            <w:tcW w:w="704" w:type="dxa"/>
          </w:tcPr>
          <w:p w14:paraId="56CFE6F0" w14:textId="77777777" w:rsidR="00C16756" w:rsidRDefault="00C16756" w:rsidP="000D23DC">
            <w:pPr>
              <w:jc w:val="center"/>
              <w:rPr>
                <w:sz w:val="22"/>
                <w:szCs w:val="22"/>
              </w:rPr>
            </w:pPr>
          </w:p>
          <w:p w14:paraId="6F21EB95" w14:textId="35D566A7" w:rsidR="00AC5E8F" w:rsidRPr="00AC5E8F" w:rsidRDefault="00F2360C" w:rsidP="000D23DC">
            <w:pPr>
              <w:jc w:val="center"/>
              <w:rPr>
                <w:sz w:val="22"/>
                <w:szCs w:val="22"/>
              </w:rPr>
            </w:pPr>
            <w:r>
              <w:rPr>
                <w:sz w:val="22"/>
                <w:szCs w:val="22"/>
              </w:rPr>
              <w:t>4</w:t>
            </w:r>
          </w:p>
        </w:tc>
        <w:tc>
          <w:tcPr>
            <w:tcW w:w="2590" w:type="dxa"/>
          </w:tcPr>
          <w:p w14:paraId="4CF996C4" w14:textId="77777777" w:rsidR="00AC5E8F" w:rsidRPr="00DF510E" w:rsidRDefault="00AC5E8F" w:rsidP="00AC5E8F">
            <w:pPr>
              <w:tabs>
                <w:tab w:val="left" w:pos="720"/>
                <w:tab w:val="right" w:pos="13467"/>
                <w:tab w:val="left" w:pos="14580"/>
              </w:tabs>
              <w:spacing w:before="120" w:after="120" w:line="264" w:lineRule="auto"/>
              <w:jc w:val="both"/>
              <w:rPr>
                <w:b/>
                <w:color w:val="000000" w:themeColor="text1"/>
              </w:rPr>
            </w:pPr>
            <w:r w:rsidRPr="00DF510E">
              <w:rPr>
                <w:b/>
                <w:color w:val="000000" w:themeColor="text1"/>
              </w:rPr>
              <w:t>Nghị định số 10/2021/NĐ-CP ngày 09/02/2021 của Chính phủ về quản lý chi phí đầu tư xây dựng</w:t>
            </w:r>
          </w:p>
          <w:p w14:paraId="0357B55C" w14:textId="77777777" w:rsidR="00AC5E8F" w:rsidRPr="00AC5E8F" w:rsidRDefault="00AC5E8F" w:rsidP="00AC5E8F">
            <w:pPr>
              <w:jc w:val="both"/>
              <w:rPr>
                <w:sz w:val="22"/>
                <w:szCs w:val="22"/>
              </w:rPr>
            </w:pPr>
          </w:p>
        </w:tc>
        <w:tc>
          <w:tcPr>
            <w:tcW w:w="4923" w:type="dxa"/>
          </w:tcPr>
          <w:p w14:paraId="3747F9AF" w14:textId="026EE1F9"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color w:val="000000" w:themeColor="text1"/>
                <w:sz w:val="22"/>
                <w:szCs w:val="22"/>
                <w:shd w:val="clear" w:color="auto" w:fill="FFFFFF"/>
              </w:rPr>
            </w:pPr>
            <w:r w:rsidRPr="00AC5E8F">
              <w:rPr>
                <w:color w:val="000000" w:themeColor="text1"/>
                <w:sz w:val="22"/>
                <w:szCs w:val="22"/>
                <w:shd w:val="clear" w:color="auto" w:fill="FFFFFF"/>
              </w:rPr>
              <w:t xml:space="preserve">- </w:t>
            </w:r>
            <w:r w:rsidRPr="00AC5E8F">
              <w:rPr>
                <w:color w:val="000000"/>
                <w:sz w:val="22"/>
                <w:szCs w:val="22"/>
              </w:rPr>
              <w:t xml:space="preserve">Khoản 2, 3 và 4 Điều 10 Nghị định số 10/2021/NĐ-CP ngày 09/02/2021 của Chính phủ về quản lý chi phí đầu tư xây dựng quy định thêm </w:t>
            </w:r>
            <w:r w:rsidRPr="00AC5E8F">
              <w:rPr>
                <w:i/>
                <w:iCs/>
                <w:color w:val="000000"/>
                <w:sz w:val="22"/>
                <w:szCs w:val="22"/>
              </w:rPr>
              <w:t xml:space="preserve">chủ đầu tư </w:t>
            </w:r>
            <w:r w:rsidRPr="00AC5E8F">
              <w:rPr>
                <w:color w:val="000000"/>
                <w:sz w:val="22"/>
                <w:szCs w:val="22"/>
              </w:rPr>
              <w:t>(trong thường hợp đã xác định) được tổ chức lập, thẩm định và phê duyệt dự toán chi phí chuẩn bị dự án</w:t>
            </w:r>
            <w:r w:rsidR="009D6FBC">
              <w:rPr>
                <w:color w:val="000000"/>
                <w:sz w:val="22"/>
                <w:szCs w:val="22"/>
              </w:rPr>
              <w:t>.</w:t>
            </w:r>
          </w:p>
          <w:p w14:paraId="5F427DB2" w14:textId="0B6024C2" w:rsidR="00AC5E8F" w:rsidRPr="00AC5E8F" w:rsidRDefault="00AC5E8F" w:rsidP="00AC5E8F">
            <w:pPr>
              <w:tabs>
                <w:tab w:val="left" w:pos="13287"/>
                <w:tab w:val="right" w:pos="13467"/>
                <w:tab w:val="left" w:pos="14580"/>
              </w:tabs>
              <w:spacing w:line="264" w:lineRule="auto"/>
              <w:contextualSpacing/>
              <w:jc w:val="both"/>
              <w:rPr>
                <w:color w:val="000000"/>
                <w:sz w:val="22"/>
                <w:szCs w:val="22"/>
              </w:rPr>
            </w:pPr>
            <w:r w:rsidRPr="00AC5E8F">
              <w:rPr>
                <w:color w:val="000000"/>
                <w:sz w:val="22"/>
                <w:szCs w:val="22"/>
              </w:rPr>
              <w:t>Như vậy, đã có sự chưa thống nhất trong việc xác định cơ quan thẩm định và phê duyệt dự toán nhiệm vụ chuẩn bị đầu tư dự án đầu tư xây dựng giữa pháp luật về đầu tư công và xây dựng</w:t>
            </w:r>
            <w:r w:rsidR="009D6FBC">
              <w:rPr>
                <w:color w:val="000000"/>
                <w:sz w:val="22"/>
                <w:szCs w:val="22"/>
              </w:rPr>
              <w:t>.</w:t>
            </w:r>
          </w:p>
          <w:p w14:paraId="56D53235" w14:textId="77777777" w:rsidR="00AC5E8F" w:rsidRPr="00AC5E8F" w:rsidRDefault="00AC5E8F" w:rsidP="00AC5E8F">
            <w:pPr>
              <w:jc w:val="both"/>
              <w:rPr>
                <w:sz w:val="22"/>
                <w:szCs w:val="22"/>
              </w:rPr>
            </w:pPr>
          </w:p>
        </w:tc>
        <w:tc>
          <w:tcPr>
            <w:tcW w:w="2268" w:type="dxa"/>
          </w:tcPr>
          <w:p w14:paraId="3946EB6F" w14:textId="77777777" w:rsidR="00AC5E8F" w:rsidRPr="00AC5E8F" w:rsidRDefault="00AC5E8F" w:rsidP="00AC5E8F">
            <w:pPr>
              <w:pStyle w:val="ListParagraph"/>
              <w:spacing w:line="264" w:lineRule="auto"/>
              <w:ind w:left="0" w:right="57"/>
              <w:jc w:val="both"/>
              <w:rPr>
                <w:color w:val="000000"/>
                <w:sz w:val="22"/>
                <w:szCs w:val="22"/>
              </w:rPr>
            </w:pPr>
            <w:r w:rsidRPr="00AC5E8F">
              <w:rPr>
                <w:color w:val="000000"/>
                <w:sz w:val="22"/>
                <w:szCs w:val="22"/>
              </w:rPr>
              <w:t xml:space="preserve">Kiến nghị sửa đổi khoản 2 Điều 10 Nghị định số 10/2021/NĐ-CP cho thống nhất với khoản 5 Điều 40 Luật Đầu tư công. </w:t>
            </w:r>
          </w:p>
          <w:p w14:paraId="4BF40667" w14:textId="77777777" w:rsidR="00AC5E8F" w:rsidRPr="00AC5E8F" w:rsidRDefault="00AC5E8F" w:rsidP="00AC5E8F">
            <w:pPr>
              <w:jc w:val="both"/>
              <w:rPr>
                <w:sz w:val="22"/>
                <w:szCs w:val="22"/>
              </w:rPr>
            </w:pPr>
          </w:p>
        </w:tc>
        <w:tc>
          <w:tcPr>
            <w:tcW w:w="2590" w:type="dxa"/>
          </w:tcPr>
          <w:p w14:paraId="6BA66D84" w14:textId="55B9C86F" w:rsidR="00AC5E8F" w:rsidRPr="00AC5E8F" w:rsidRDefault="00AC5E8F" w:rsidP="00AC5E8F">
            <w:pPr>
              <w:jc w:val="both"/>
              <w:rPr>
                <w:sz w:val="22"/>
                <w:szCs w:val="22"/>
              </w:rPr>
            </w:pPr>
            <w:r w:rsidRPr="00AC5E8F">
              <w:rPr>
                <w:sz w:val="22"/>
                <w:szCs w:val="22"/>
              </w:rPr>
              <w:t>Bộ Kế hoạch và Đầu tư</w:t>
            </w:r>
          </w:p>
        </w:tc>
      </w:tr>
      <w:tr w:rsidR="00AC5E8F" w14:paraId="29105B30" w14:textId="77777777" w:rsidTr="00807B48">
        <w:tc>
          <w:tcPr>
            <w:tcW w:w="704" w:type="dxa"/>
          </w:tcPr>
          <w:p w14:paraId="061023E9" w14:textId="72F5FA4F" w:rsidR="00AC5E8F" w:rsidRPr="000D23DC" w:rsidRDefault="000D23DC" w:rsidP="000D23DC">
            <w:pPr>
              <w:jc w:val="center"/>
              <w:rPr>
                <w:b/>
                <w:bCs/>
                <w:sz w:val="22"/>
                <w:szCs w:val="22"/>
              </w:rPr>
            </w:pPr>
            <w:r w:rsidRPr="000D23DC">
              <w:rPr>
                <w:b/>
                <w:bCs/>
                <w:sz w:val="22"/>
                <w:szCs w:val="22"/>
              </w:rPr>
              <w:t>5</w:t>
            </w:r>
          </w:p>
        </w:tc>
        <w:tc>
          <w:tcPr>
            <w:tcW w:w="2590" w:type="dxa"/>
          </w:tcPr>
          <w:p w14:paraId="343E659B" w14:textId="17B4C78E" w:rsidR="00AC5E8F" w:rsidRPr="00AC5E8F" w:rsidRDefault="009D6FBC" w:rsidP="00AC5E8F">
            <w:pPr>
              <w:jc w:val="both"/>
              <w:rPr>
                <w:sz w:val="22"/>
                <w:szCs w:val="22"/>
              </w:rPr>
            </w:pPr>
            <w:r>
              <w:rPr>
                <w:b/>
                <w:color w:val="000000" w:themeColor="text1"/>
              </w:rPr>
              <w:t>Nghị định số 15/2021/NĐ-CP ngày 03/3/2021 về quy định chi tiết một số nội dung về quản lý dự án đầu tư xây dựng</w:t>
            </w:r>
          </w:p>
        </w:tc>
        <w:tc>
          <w:tcPr>
            <w:tcW w:w="4923" w:type="dxa"/>
          </w:tcPr>
          <w:p w14:paraId="5554234D" w14:textId="77777777" w:rsidR="00AC5E8F" w:rsidRPr="00AC5E8F" w:rsidRDefault="00AC5E8F" w:rsidP="00AC5E8F">
            <w:pPr>
              <w:pStyle w:val="NormalWeb"/>
              <w:shd w:val="clear" w:color="auto" w:fill="FFFFFF"/>
              <w:spacing w:before="0" w:beforeAutospacing="0" w:after="0" w:afterAutospacing="0" w:line="234" w:lineRule="atLeast"/>
              <w:jc w:val="both"/>
              <w:rPr>
                <w:color w:val="000000"/>
                <w:sz w:val="22"/>
                <w:szCs w:val="22"/>
              </w:rPr>
            </w:pPr>
            <w:r w:rsidRPr="00AC5E8F">
              <w:rPr>
                <w:color w:val="000000"/>
                <w:sz w:val="22"/>
                <w:szCs w:val="22"/>
              </w:rPr>
              <w:t xml:space="preserve">- </w:t>
            </w:r>
            <w:bookmarkStart w:id="1" w:name="khoan_5_51"/>
            <w:r w:rsidRPr="00AC5E8F">
              <w:rPr>
                <w:color w:val="000000"/>
                <w:sz w:val="22"/>
                <w:szCs w:val="22"/>
              </w:rPr>
              <w:t>Khoản 5 Điều 51 Luật Đầu tư công quy định:</w:t>
            </w:r>
          </w:p>
          <w:p w14:paraId="17DB26A7" w14:textId="77777777" w:rsidR="00AC5E8F" w:rsidRPr="00AC5E8F" w:rsidRDefault="00AC5E8F" w:rsidP="00AC5E8F">
            <w:pPr>
              <w:pStyle w:val="NormalWeb"/>
              <w:shd w:val="clear" w:color="auto" w:fill="FFFFFF"/>
              <w:spacing w:before="0" w:beforeAutospacing="0" w:after="0" w:afterAutospacing="0" w:line="234" w:lineRule="atLeast"/>
              <w:jc w:val="both"/>
              <w:rPr>
                <w:i/>
                <w:iCs/>
                <w:color w:val="000000"/>
                <w:sz w:val="22"/>
                <w:szCs w:val="22"/>
              </w:rPr>
            </w:pPr>
            <w:r w:rsidRPr="00AC5E8F">
              <w:rPr>
                <w:color w:val="000000"/>
                <w:sz w:val="22"/>
                <w:szCs w:val="22"/>
              </w:rPr>
              <w:t xml:space="preserve"> </w:t>
            </w:r>
            <w:r w:rsidRPr="00AC5E8F">
              <w:rPr>
                <w:i/>
                <w:iCs/>
                <w:color w:val="000000"/>
                <w:sz w:val="22"/>
                <w:szCs w:val="22"/>
              </w:rPr>
              <w:t>Việc bố trí vốn kế hoạch cho chương trình, dự án khởi công mới phải đáp ứng các yêu cầu sau đây:</w:t>
            </w:r>
            <w:bookmarkEnd w:id="1"/>
          </w:p>
          <w:p w14:paraId="4D669ACD" w14:textId="77777777" w:rsidR="00AC5E8F" w:rsidRPr="00AC5E8F" w:rsidRDefault="00AC5E8F" w:rsidP="00AC5E8F">
            <w:pPr>
              <w:pStyle w:val="NormalWeb"/>
              <w:shd w:val="clear" w:color="auto" w:fill="FFFFFF"/>
              <w:spacing w:before="0" w:beforeAutospacing="0" w:after="0" w:afterAutospacing="0" w:line="234" w:lineRule="atLeast"/>
              <w:jc w:val="both"/>
              <w:rPr>
                <w:i/>
                <w:iCs/>
                <w:sz w:val="22"/>
                <w:szCs w:val="22"/>
              </w:rPr>
            </w:pPr>
            <w:r w:rsidRPr="00AC5E8F">
              <w:rPr>
                <w:i/>
                <w:iCs/>
                <w:color w:val="000000"/>
                <w:sz w:val="22"/>
                <w:szCs w:val="22"/>
              </w:rPr>
              <w:t xml:space="preserve">a) </w:t>
            </w:r>
            <w:r w:rsidRPr="00AC5E8F">
              <w:rPr>
                <w:i/>
                <w:iCs/>
                <w:sz w:val="22"/>
                <w:szCs w:val="22"/>
              </w:rPr>
              <w:t>Chương trình, dự án cần thiết, có đủ điều kiện được bố trí vốn kế hoạch theo quy định tại </w:t>
            </w:r>
            <w:bookmarkStart w:id="2" w:name="tc_35"/>
            <w:r w:rsidRPr="00AC5E8F">
              <w:rPr>
                <w:i/>
                <w:iCs/>
                <w:sz w:val="22"/>
                <w:szCs w:val="22"/>
              </w:rPr>
              <w:t>Điều 52 và Điều 53 của Luật này</w:t>
            </w:r>
            <w:bookmarkEnd w:id="2"/>
            <w:r w:rsidRPr="00AC5E8F">
              <w:rPr>
                <w:i/>
                <w:iCs/>
                <w:sz w:val="22"/>
                <w:szCs w:val="22"/>
              </w:rPr>
              <w:t>;</w:t>
            </w:r>
          </w:p>
          <w:p w14:paraId="744D84E9" w14:textId="77777777" w:rsidR="00AC5E8F" w:rsidRPr="00AC5E8F" w:rsidRDefault="00AC5E8F" w:rsidP="00AC5E8F">
            <w:pPr>
              <w:pStyle w:val="NormalWeb"/>
              <w:shd w:val="clear" w:color="auto" w:fill="FFFFFF"/>
              <w:spacing w:before="0" w:beforeAutospacing="0" w:after="0" w:afterAutospacing="0" w:line="234" w:lineRule="atLeast"/>
              <w:jc w:val="both"/>
              <w:rPr>
                <w:i/>
                <w:iCs/>
                <w:sz w:val="22"/>
                <w:szCs w:val="22"/>
              </w:rPr>
            </w:pPr>
            <w:r w:rsidRPr="00AC5E8F">
              <w:rPr>
                <w:i/>
                <w:iCs/>
                <w:sz w:val="22"/>
                <w:szCs w:val="22"/>
              </w:rPr>
              <w:t>b) Sau khi đã bố trí vốn để thanh toán nợ đọng xây dựng cơ bản theo quy định tại </w:t>
            </w:r>
            <w:bookmarkStart w:id="3" w:name="tc_36"/>
            <w:r w:rsidRPr="00AC5E8F">
              <w:rPr>
                <w:i/>
                <w:iCs/>
                <w:sz w:val="22"/>
                <w:szCs w:val="22"/>
              </w:rPr>
              <w:t>khoản 4 Điều 101 của Luật này</w:t>
            </w:r>
            <w:bookmarkEnd w:id="3"/>
            <w:r w:rsidRPr="00AC5E8F">
              <w:rPr>
                <w:i/>
                <w:iCs/>
                <w:sz w:val="22"/>
                <w:szCs w:val="22"/>
              </w:rPr>
              <w:t>;</w:t>
            </w:r>
          </w:p>
          <w:p w14:paraId="5CF0C1B3" w14:textId="77777777" w:rsidR="00AC5E8F" w:rsidRPr="00AC5E8F" w:rsidRDefault="00AC5E8F" w:rsidP="00AC5E8F">
            <w:pPr>
              <w:pStyle w:val="NormalWeb"/>
              <w:shd w:val="clear" w:color="auto" w:fill="FFFFFF"/>
              <w:spacing w:before="120" w:beforeAutospacing="0" w:after="120" w:afterAutospacing="0" w:line="234" w:lineRule="atLeast"/>
              <w:jc w:val="both"/>
              <w:rPr>
                <w:i/>
                <w:iCs/>
                <w:sz w:val="22"/>
                <w:szCs w:val="22"/>
              </w:rPr>
            </w:pPr>
            <w:r w:rsidRPr="00AC5E8F">
              <w:rPr>
                <w:i/>
                <w:iCs/>
                <w:sz w:val="22"/>
                <w:szCs w:val="22"/>
              </w:rPr>
              <w:t>c) Bảo đảm bố trí đủ vốn để hoàn thành chương trình, dự án theo tiến độ đầu tư đã được phê duyệt.</w:t>
            </w:r>
          </w:p>
          <w:p w14:paraId="1B43CEF7" w14:textId="77777777" w:rsidR="00AC5E8F" w:rsidRPr="00AC5E8F" w:rsidRDefault="00AC5E8F" w:rsidP="00AC5E8F">
            <w:pPr>
              <w:pStyle w:val="NormalWeb"/>
              <w:shd w:val="clear" w:color="auto" w:fill="FFFFFF"/>
              <w:spacing w:before="0" w:beforeAutospacing="0" w:after="0" w:afterAutospacing="0" w:line="234" w:lineRule="atLeast"/>
              <w:ind w:firstLine="281"/>
              <w:jc w:val="both"/>
              <w:rPr>
                <w:i/>
                <w:iCs/>
                <w:sz w:val="22"/>
                <w:szCs w:val="22"/>
              </w:rPr>
            </w:pPr>
            <w:bookmarkStart w:id="4" w:name="dieu_53"/>
            <w:r w:rsidRPr="00AC5E8F">
              <w:rPr>
                <w:sz w:val="22"/>
                <w:szCs w:val="22"/>
              </w:rPr>
              <w:t>Điều 53 Luật Đầu tư công quy định:</w:t>
            </w:r>
            <w:r w:rsidRPr="00AC5E8F">
              <w:rPr>
                <w:b/>
                <w:bCs/>
                <w:sz w:val="22"/>
                <w:szCs w:val="22"/>
              </w:rPr>
              <w:t xml:space="preserve"> </w:t>
            </w:r>
            <w:r w:rsidRPr="00AC5E8F">
              <w:rPr>
                <w:i/>
                <w:iCs/>
                <w:sz w:val="22"/>
                <w:szCs w:val="22"/>
              </w:rPr>
              <w:t>Điều kiện để chương trình, dự án, nhiệm vụ, đối tượng đầu tư công khác được bố trí vốn kế hoạch đầu tư công hằng năm</w:t>
            </w:r>
            <w:bookmarkEnd w:id="4"/>
          </w:p>
          <w:p w14:paraId="13679287" w14:textId="77777777" w:rsidR="00AC5E8F" w:rsidRPr="00AC5E8F" w:rsidRDefault="00AC5E8F" w:rsidP="00AC5E8F">
            <w:pPr>
              <w:pStyle w:val="NormalWeb"/>
              <w:shd w:val="clear" w:color="auto" w:fill="FFFFFF"/>
              <w:spacing w:before="120" w:beforeAutospacing="0" w:after="120" w:afterAutospacing="0" w:line="234" w:lineRule="atLeast"/>
              <w:jc w:val="both"/>
              <w:rPr>
                <w:i/>
                <w:iCs/>
                <w:color w:val="000000"/>
                <w:sz w:val="22"/>
                <w:szCs w:val="22"/>
              </w:rPr>
            </w:pPr>
            <w:r w:rsidRPr="00AC5E8F">
              <w:rPr>
                <w:i/>
                <w:iCs/>
                <w:sz w:val="22"/>
                <w:szCs w:val="22"/>
              </w:rPr>
              <w:lastRenderedPageBreak/>
              <w:t xml:space="preserve">1. Chương trình, dự án, nhiệm vụ, đối tượng đầu tư công khác phải có trong kế hoạch đầu tư </w:t>
            </w:r>
            <w:r w:rsidRPr="00AC5E8F">
              <w:rPr>
                <w:i/>
                <w:iCs/>
                <w:color w:val="000000"/>
                <w:sz w:val="22"/>
                <w:szCs w:val="22"/>
              </w:rPr>
              <w:t>công trung hạn, trừ dự án đầu tư công khẩn cấp.</w:t>
            </w:r>
          </w:p>
          <w:p w14:paraId="076D12BF" w14:textId="77777777" w:rsidR="00AC5E8F" w:rsidRPr="00AC5E8F" w:rsidRDefault="00AC5E8F" w:rsidP="00AC5E8F">
            <w:pPr>
              <w:pStyle w:val="NormalWeb"/>
              <w:shd w:val="clear" w:color="auto" w:fill="FFFFFF"/>
              <w:spacing w:before="120" w:beforeAutospacing="0" w:after="120" w:afterAutospacing="0" w:line="234" w:lineRule="atLeast"/>
              <w:jc w:val="both"/>
              <w:rPr>
                <w:i/>
                <w:iCs/>
                <w:color w:val="000000"/>
                <w:sz w:val="22"/>
                <w:szCs w:val="22"/>
              </w:rPr>
            </w:pPr>
            <w:r w:rsidRPr="00AC5E8F">
              <w:rPr>
                <w:i/>
                <w:iCs/>
                <w:color w:val="000000"/>
                <w:sz w:val="22"/>
                <w:szCs w:val="22"/>
              </w:rPr>
              <w:t>2. Chương trình, dự án, nhiệm vụ, đối tượng đầu tư công khác đã được cấp có thẩm quyền quyết định.</w:t>
            </w:r>
          </w:p>
          <w:p w14:paraId="7E74EAB9"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color w:val="000000"/>
                <w:sz w:val="22"/>
                <w:szCs w:val="22"/>
              </w:rPr>
              <w:t xml:space="preserve">- Khoản 3 Điều 54 Luật Đầu tư công quy định </w:t>
            </w:r>
            <w:r w:rsidRPr="00AC5E8F">
              <w:rPr>
                <w:i/>
                <w:iCs/>
                <w:color w:val="000000"/>
                <w:sz w:val="22"/>
                <w:szCs w:val="22"/>
              </w:rPr>
              <w:t>"Vốn thực hiện dự án được bố trí để giải phóng mặt bằng, lập thiết kế kỹ thuật, lập thiết kế bản vẽ thi công, lập dự toán của dự án hoặc hạng mục của dự án, tổ chức thi công và các công việc khác theo quyết định phê duyệt dự án"</w:t>
            </w:r>
          </w:p>
          <w:p w14:paraId="665DA408"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p>
          <w:p w14:paraId="316AA53E"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color w:val="000000"/>
                <w:sz w:val="22"/>
                <w:szCs w:val="22"/>
              </w:rPr>
              <w:t>-  Kh</w:t>
            </w:r>
            <w:bookmarkStart w:id="5" w:name="diem_a_1_4"/>
            <w:r w:rsidRPr="00AC5E8F">
              <w:rPr>
                <w:color w:val="000000"/>
                <w:sz w:val="22"/>
                <w:szCs w:val="22"/>
              </w:rPr>
              <w:t xml:space="preserve">oản 1 Điều 4 Nghị định số 15/2021/NĐ-CP quy định </w:t>
            </w:r>
            <w:r w:rsidRPr="00AC5E8F">
              <w:rPr>
                <w:i/>
                <w:iCs/>
                <w:color w:val="000000"/>
                <w:sz w:val="22"/>
                <w:szCs w:val="22"/>
              </w:rPr>
              <w:t>giai đoạn chuẩn bị dự án gồm các công việc khảo sát xây dựng: lập, thẩm định, Báo cáo nghiên cứu tiền khả thi, quyết định hoặc chấp thuận chủ trương đầu tư (nếu có); lập, thẩm định, phê duyệt quy hoạch chi tiết xây dựng phục vụ lập Báo cáo nghiên cứu khả thi đầu tư xây dựng; lập, thẩm định Báo cáo nghiên cứu khả thi để phê duyệt/quyết định đầu tư xây dựng và thực hiện các công việc cần thiết khác liên quan đến chuẩn bị dự án</w:t>
            </w:r>
            <w:bookmarkEnd w:id="5"/>
            <w:r w:rsidRPr="00AC5E8F">
              <w:rPr>
                <w:i/>
                <w:iCs/>
                <w:color w:val="000000"/>
                <w:sz w:val="22"/>
                <w:szCs w:val="22"/>
              </w:rPr>
              <w:t>.</w:t>
            </w:r>
          </w:p>
          <w:p w14:paraId="6352094C"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sz w:val="22"/>
                <w:szCs w:val="22"/>
              </w:rPr>
            </w:pPr>
            <w:r w:rsidRPr="00AC5E8F">
              <w:rPr>
                <w:sz w:val="22"/>
                <w:szCs w:val="22"/>
              </w:rPr>
              <w:t xml:space="preserve">- Khoản 3 Điều 4 Nghị định số 15/2021/NĐ-CP quy định </w:t>
            </w:r>
            <w:r w:rsidRPr="00AC5E8F">
              <w:rPr>
                <w:i/>
                <w:iCs/>
                <w:sz w:val="22"/>
                <w:szCs w:val="22"/>
              </w:rPr>
              <w:t>theo tính chất của dự án và điều kiện cụ thể, việc bồi thường, hỗ trợ, tái định cư được thực hiện tại giai đoạn chuẩn bị dự án hoặc thực hiện dự án, đảm bảo phù hợp trình tự, thủ tục theo quy định của pháp luật về đất đai</w:t>
            </w:r>
          </w:p>
          <w:p w14:paraId="58CCBB7B" w14:textId="5D3B9747" w:rsidR="00AC5E8F" w:rsidRPr="00AC5E8F" w:rsidRDefault="00AC5E8F" w:rsidP="00AC5E8F">
            <w:pPr>
              <w:jc w:val="both"/>
              <w:rPr>
                <w:sz w:val="22"/>
                <w:szCs w:val="22"/>
              </w:rPr>
            </w:pPr>
            <w:r w:rsidRPr="00AC5E8F">
              <w:rPr>
                <w:sz w:val="22"/>
                <w:szCs w:val="22"/>
              </w:rPr>
              <w:t>Như vậy, theo quy định trên, nếu việc bồi thường, hỗ trợ, tái định cư được thực hiện giai đoạn chuẩn bị dự án theo Khoản 3 Điều 4 Nghị định số 15/2021/NĐ-CP khi dự án chưa có Quyết định đầu tư là trái với quy định tại khoản 2 Điều 53 Luật Đầu tư công và khoản 3 Điều 54 Luật Đầu tư công</w:t>
            </w:r>
          </w:p>
        </w:tc>
        <w:tc>
          <w:tcPr>
            <w:tcW w:w="2268" w:type="dxa"/>
          </w:tcPr>
          <w:p w14:paraId="41414529" w14:textId="32E7E06B" w:rsidR="00AC5E8F" w:rsidRPr="00AC5E8F" w:rsidRDefault="00AC5E8F" w:rsidP="00AC5E8F">
            <w:pPr>
              <w:jc w:val="both"/>
              <w:rPr>
                <w:sz w:val="22"/>
                <w:szCs w:val="22"/>
              </w:rPr>
            </w:pPr>
            <w:r w:rsidRPr="00AC5E8F">
              <w:rPr>
                <w:color w:val="000000"/>
                <w:sz w:val="22"/>
                <w:szCs w:val="22"/>
              </w:rPr>
              <w:lastRenderedPageBreak/>
              <w:t>Kiến nghị Chính phủ tách công tác bồi thường, hỗ trợ tái định cư bảo đảm vẫn quản lý đất đai hiệu quả, nhưng vẫn tạo điều kiện thuận lợi cho triển khai dự án</w:t>
            </w:r>
          </w:p>
        </w:tc>
        <w:tc>
          <w:tcPr>
            <w:tcW w:w="2590" w:type="dxa"/>
          </w:tcPr>
          <w:p w14:paraId="000709D2" w14:textId="534B37DE" w:rsidR="00AC5E8F" w:rsidRPr="00AC5E8F" w:rsidRDefault="00AC5E8F" w:rsidP="00AC5E8F">
            <w:pPr>
              <w:jc w:val="both"/>
              <w:rPr>
                <w:sz w:val="22"/>
                <w:szCs w:val="22"/>
              </w:rPr>
            </w:pPr>
            <w:r w:rsidRPr="00AC5E8F">
              <w:rPr>
                <w:sz w:val="22"/>
                <w:szCs w:val="22"/>
              </w:rPr>
              <w:t>Bộ Kế hoạch và Đầu tư</w:t>
            </w:r>
          </w:p>
        </w:tc>
      </w:tr>
      <w:tr w:rsidR="00AC5E8F" w14:paraId="122E8C44" w14:textId="77777777" w:rsidTr="00283BAC">
        <w:tc>
          <w:tcPr>
            <w:tcW w:w="13075" w:type="dxa"/>
            <w:gridSpan w:val="5"/>
          </w:tcPr>
          <w:p w14:paraId="31187433" w14:textId="339ECC04" w:rsidR="00AC5E8F" w:rsidRPr="00F2360C" w:rsidRDefault="00DF510E" w:rsidP="00DF510E">
            <w:pPr>
              <w:rPr>
                <w:b/>
                <w:bCs/>
                <w:sz w:val="22"/>
                <w:szCs w:val="22"/>
              </w:rPr>
            </w:pPr>
            <w:r>
              <w:rPr>
                <w:b/>
                <w:bCs/>
                <w:sz w:val="22"/>
                <w:szCs w:val="22"/>
              </w:rPr>
              <w:lastRenderedPageBreak/>
              <w:t xml:space="preserve">II. </w:t>
            </w:r>
            <w:r w:rsidR="00AC5E8F" w:rsidRPr="00F2360C">
              <w:rPr>
                <w:b/>
                <w:bCs/>
                <w:sz w:val="22"/>
                <w:szCs w:val="22"/>
              </w:rPr>
              <w:t>LĨNH VỰC DOANH NGHIỆP</w:t>
            </w:r>
          </w:p>
        </w:tc>
      </w:tr>
      <w:tr w:rsidR="00AC5E8F" w14:paraId="32803FC1" w14:textId="77777777" w:rsidTr="00807B48">
        <w:tc>
          <w:tcPr>
            <w:tcW w:w="704" w:type="dxa"/>
          </w:tcPr>
          <w:p w14:paraId="66DE1BD6" w14:textId="77777777" w:rsidR="00DF510E" w:rsidRDefault="00DF510E" w:rsidP="000D23DC">
            <w:pPr>
              <w:jc w:val="center"/>
              <w:rPr>
                <w:b/>
                <w:bCs/>
                <w:sz w:val="22"/>
                <w:szCs w:val="22"/>
              </w:rPr>
            </w:pPr>
          </w:p>
          <w:p w14:paraId="1EC7C7F9" w14:textId="6E0592D0" w:rsidR="00AC5E8F" w:rsidRPr="000D23DC" w:rsidRDefault="00F2360C" w:rsidP="000D23DC">
            <w:pPr>
              <w:jc w:val="center"/>
              <w:rPr>
                <w:b/>
                <w:bCs/>
                <w:sz w:val="22"/>
                <w:szCs w:val="22"/>
              </w:rPr>
            </w:pPr>
            <w:r w:rsidRPr="000D23DC">
              <w:rPr>
                <w:b/>
                <w:bCs/>
                <w:sz w:val="22"/>
                <w:szCs w:val="22"/>
              </w:rPr>
              <w:t>1</w:t>
            </w:r>
          </w:p>
        </w:tc>
        <w:tc>
          <w:tcPr>
            <w:tcW w:w="2590" w:type="dxa"/>
          </w:tcPr>
          <w:p w14:paraId="419ADA79" w14:textId="48EBB8AC" w:rsidR="00AC5E8F" w:rsidRPr="00AC5E8F" w:rsidRDefault="00AC5E8F" w:rsidP="00AC5E8F">
            <w:pPr>
              <w:tabs>
                <w:tab w:val="left" w:pos="720"/>
                <w:tab w:val="left" w:pos="930"/>
                <w:tab w:val="right" w:pos="13467"/>
                <w:tab w:val="left" w:pos="14580"/>
              </w:tabs>
              <w:spacing w:before="120" w:after="120" w:line="264" w:lineRule="auto"/>
              <w:jc w:val="both"/>
              <w:rPr>
                <w:b/>
                <w:color w:val="000000" w:themeColor="text1"/>
                <w:sz w:val="22"/>
                <w:szCs w:val="22"/>
              </w:rPr>
            </w:pPr>
            <w:r w:rsidRPr="00AC5E8F">
              <w:rPr>
                <w:b/>
                <w:color w:val="000000" w:themeColor="text1"/>
                <w:sz w:val="22"/>
                <w:szCs w:val="22"/>
              </w:rPr>
              <w:t xml:space="preserve">    Luật Doanh nghiệp 2020</w:t>
            </w:r>
          </w:p>
          <w:p w14:paraId="3A264BF9" w14:textId="6A3D5D15" w:rsidR="00AC5E8F" w:rsidRPr="00AC5E8F" w:rsidRDefault="00AC5E8F" w:rsidP="00AC5E8F">
            <w:pPr>
              <w:tabs>
                <w:tab w:val="left" w:pos="720"/>
                <w:tab w:val="left" w:pos="930"/>
                <w:tab w:val="right" w:pos="13467"/>
                <w:tab w:val="left" w:pos="14580"/>
              </w:tabs>
              <w:spacing w:before="120" w:after="120" w:line="264" w:lineRule="auto"/>
              <w:jc w:val="both"/>
              <w:rPr>
                <w:b/>
                <w:color w:val="000000" w:themeColor="text1"/>
                <w:sz w:val="22"/>
                <w:szCs w:val="22"/>
              </w:rPr>
            </w:pPr>
            <w:r w:rsidRPr="00AC5E8F">
              <w:rPr>
                <w:b/>
                <w:kern w:val="28"/>
                <w:sz w:val="22"/>
                <w:szCs w:val="22"/>
                <w:lang w:eastAsia="x-none"/>
              </w:rPr>
              <w:t xml:space="preserve">      Nghị định 01/2021/NĐ-CP ngày 04/01/2021 của Chính phủ về đăng ký doanh nghiệp</w:t>
            </w:r>
          </w:p>
          <w:p w14:paraId="714F68EE" w14:textId="77777777" w:rsidR="00AC5E8F" w:rsidRPr="00AC5E8F" w:rsidRDefault="00AC5E8F" w:rsidP="00AC5E8F">
            <w:pPr>
              <w:jc w:val="both"/>
              <w:rPr>
                <w:sz w:val="22"/>
                <w:szCs w:val="22"/>
              </w:rPr>
            </w:pPr>
          </w:p>
        </w:tc>
        <w:tc>
          <w:tcPr>
            <w:tcW w:w="4923" w:type="dxa"/>
          </w:tcPr>
          <w:p w14:paraId="2C0BF930" w14:textId="787E507A"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sz w:val="22"/>
                <w:szCs w:val="22"/>
              </w:rPr>
            </w:pPr>
            <w:r w:rsidRPr="00AC5E8F">
              <w:rPr>
                <w:sz w:val="22"/>
                <w:szCs w:val="22"/>
              </w:rPr>
              <w:t>Khoản 3 Điều 3 Luật Doanh nghiệp quy định “</w:t>
            </w:r>
            <w:r w:rsidRPr="00AC5E8F">
              <w:rPr>
                <w:i/>
                <w:iCs/>
                <w:sz w:val="22"/>
                <w:szCs w:val="22"/>
              </w:rPr>
              <w:t>Cơ sở dữ liệu quốc gia về đăng ký doanh nghiệp là tập hợp 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thông tin gốc về doanh nghiệp.”</w:t>
            </w:r>
          </w:p>
          <w:p w14:paraId="62636959"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sz w:val="22"/>
                <w:szCs w:val="22"/>
              </w:rPr>
            </w:pPr>
            <w:r w:rsidRPr="00AC5E8F">
              <w:rPr>
                <w:sz w:val="22"/>
                <w:szCs w:val="22"/>
              </w:rPr>
              <w:t xml:space="preserve">- Khoản 3 Điều 3 Luật Doanh nghiệp quy định </w:t>
            </w:r>
            <w:r w:rsidRPr="00AC5E8F">
              <w:rPr>
                <w:i/>
                <w:iCs/>
                <w:sz w:val="22"/>
                <w:szCs w:val="22"/>
              </w:rPr>
              <w:t>Cơ sở dữ liệu quốc gia về đăng ký doanh nghiệp là tập hợp 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thông tin gốc về doanh nghiệp.</w:t>
            </w:r>
          </w:p>
          <w:p w14:paraId="1ACD5D0B"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sz w:val="22"/>
                <w:szCs w:val="22"/>
              </w:rPr>
            </w:pPr>
            <w:r w:rsidRPr="00AC5E8F">
              <w:rPr>
                <w:sz w:val="22"/>
                <w:szCs w:val="22"/>
              </w:rPr>
              <w:t xml:space="preserve">- Điều 33 Luật Doanh nghiệp 2020 </w:t>
            </w:r>
            <w:bookmarkStart w:id="6" w:name="dieu_33"/>
            <w:r w:rsidRPr="00AC5E8F">
              <w:rPr>
                <w:sz w:val="22"/>
                <w:szCs w:val="22"/>
              </w:rPr>
              <w:t>quy định:</w:t>
            </w:r>
            <w:r w:rsidRPr="00AC5E8F">
              <w:rPr>
                <w:i/>
                <w:iCs/>
                <w:sz w:val="22"/>
                <w:szCs w:val="22"/>
              </w:rPr>
              <w:t xml:space="preserve">  Cung cấp thông tin về nội dung đăng ký doanh nghiệp</w:t>
            </w:r>
            <w:bookmarkEnd w:id="6"/>
          </w:p>
          <w:p w14:paraId="53771D13"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1BA356F1"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2. Cơ quan quản lý nhà nước về đăng ký kinh doanh và Cơ quan đăng ký kinh doanh có nghĩa vụ cung cấp đầy đủ và kịp thời thông tin theo quy định tại khoản 1 Điều này.</w:t>
            </w:r>
          </w:p>
          <w:p w14:paraId="644B2AC0"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3. Chính phủ quy định chi tiết Điều này.</w:t>
            </w:r>
          </w:p>
          <w:p w14:paraId="32B3E15E"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sz w:val="22"/>
                <w:szCs w:val="22"/>
              </w:rPr>
            </w:pPr>
            <w:r w:rsidRPr="00AC5E8F">
              <w:rPr>
                <w:bCs/>
                <w:kern w:val="28"/>
                <w:sz w:val="22"/>
                <w:szCs w:val="22"/>
                <w:lang w:eastAsia="x-none"/>
              </w:rPr>
              <w:t xml:space="preserve">- Khoản 4 Điều 15 </w:t>
            </w:r>
            <w:r w:rsidRPr="00AC5E8F">
              <w:rPr>
                <w:sz w:val="22"/>
                <w:szCs w:val="22"/>
              </w:rPr>
              <w:t xml:space="preserve">Nghị định 01/2021/NĐ-CP quy định </w:t>
            </w:r>
            <w:r w:rsidRPr="00AC5E8F">
              <w:rPr>
                <w:i/>
                <w:iCs/>
                <w:color w:val="000000"/>
                <w:sz w:val="22"/>
                <w:szCs w:val="22"/>
              </w:rPr>
              <w:t xml:space="preserve">Cung cấp thông tin về đăng ký doanh nghiệp lưu giữ tại Cơ sở dữ liệu quốc gia về đăng ký doanh nghiệp trong phạm vi địa phương quản lý cho Ủy ban nhân dân cấp tỉnh, Cơ quan quản lý thuế tại địa phương và theo yêu cầu của Cơ quan phòng, chống rửa tiền thuộc Ngân hàng Nhà nước Việt Nam, các cơ </w:t>
            </w:r>
            <w:r w:rsidRPr="00AC5E8F">
              <w:rPr>
                <w:i/>
                <w:iCs/>
                <w:color w:val="000000"/>
                <w:sz w:val="22"/>
                <w:szCs w:val="22"/>
              </w:rPr>
              <w:lastRenderedPageBreak/>
              <w:t>quan có liên quan và các tổ chức, cá nhân theo quy định của pháp luật.</w:t>
            </w:r>
            <w:r w:rsidRPr="00AC5E8F">
              <w:rPr>
                <w:sz w:val="22"/>
                <w:szCs w:val="22"/>
              </w:rPr>
              <w:t xml:space="preserve"> </w:t>
            </w:r>
          </w:p>
          <w:p w14:paraId="39D98FEA"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bookmarkStart w:id="7" w:name="dieu_36"/>
            <w:r w:rsidRPr="00AC5E8F">
              <w:rPr>
                <w:bCs/>
                <w:kern w:val="28"/>
                <w:sz w:val="22"/>
                <w:szCs w:val="22"/>
                <w:lang w:eastAsia="x-none"/>
              </w:rPr>
              <w:t xml:space="preserve">Điều 36 Nghị định 01/2021/NĐ-CP quy định </w:t>
            </w:r>
            <w:r w:rsidRPr="00AC5E8F">
              <w:rPr>
                <w:i/>
                <w:iCs/>
                <w:color w:val="000000"/>
                <w:sz w:val="22"/>
                <w:szCs w:val="22"/>
              </w:rPr>
              <w:t>Cung cấp thông tin đăng ký doanh nghiệp</w:t>
            </w:r>
            <w:bookmarkEnd w:id="7"/>
          </w:p>
          <w:p w14:paraId="6A72E9C2"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1. Thông tin được cung cấp công khai, miễn phí trên Cổng thông tin quốc gia về đăng ký doanh nghiệp tại địa chỉ https://dangkykinhdoanh.gov.vn, bao gồm: tên doanh nghiệp; mã số doanh nghiệp; địa chỉ trụ sở chính; ngành, nghề kinh doanh; họ và tên người đại diện theo pháp luật; tình trạng pháp lý của doanh nghiệp.</w:t>
            </w:r>
          </w:p>
          <w:p w14:paraId="557EAAF1"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2. Tổ chức, cá nhân có nhu cầu cung cấp thông tin đăng ký doanh nghiệp theo quy định tại </w:t>
            </w:r>
            <w:bookmarkStart w:id="8" w:name="dc_16"/>
            <w:r w:rsidRPr="00AC5E8F">
              <w:rPr>
                <w:i/>
                <w:iCs/>
                <w:color w:val="000000"/>
                <w:sz w:val="22"/>
                <w:szCs w:val="22"/>
              </w:rPr>
              <w:t>khoản 1 Điều 33 Luật Doanh nghiệp</w:t>
            </w:r>
            <w:bookmarkEnd w:id="8"/>
            <w:r w:rsidRPr="00AC5E8F">
              <w:rPr>
                <w:i/>
                <w:iCs/>
                <w:color w:val="000000"/>
                <w:sz w:val="22"/>
                <w:szCs w:val="22"/>
              </w:rPr>
              <w:t> gửi đề nghị cung cấp thông tin đến Cổng thông tin quốc gia về đăng ký doanh nghiệp hoặc Cơ quan quản lý nhà nước về đăng ký kinh doanh hoặc Cơ quan đăng ký kinh doanh cấp tỉnh để được cung cấp thông tin.</w:t>
            </w:r>
          </w:p>
          <w:p w14:paraId="7770B5DD"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contextualSpacing/>
              <w:jc w:val="both"/>
              <w:rPr>
                <w:i/>
                <w:iCs/>
                <w:color w:val="000000"/>
                <w:sz w:val="22"/>
                <w:szCs w:val="22"/>
              </w:rPr>
            </w:pPr>
            <w:r w:rsidRPr="00AC5E8F">
              <w:rPr>
                <w:i/>
                <w:iCs/>
                <w:color w:val="000000"/>
                <w:sz w:val="22"/>
                <w:szCs w:val="22"/>
              </w:rPr>
              <w:t>Cơ quan quản lý nhà nước về đăng ký kinh doanh cung cấp thông tin về doanh nghiệp lưu giữ trên Hệ thống thông tin quốc gia về đăng ký doanh nghiệp. Cơ quan đăng ký kinh doanh cấp tỉnh cung cấp thông tin về doanh nghiệp lưu giữ tại Cơ sở dữ liệu quốc gia về đăng ký doanh nghiệp trong phạm vi địa phương quản lý.</w:t>
            </w:r>
          </w:p>
          <w:p w14:paraId="39FDE914" w14:textId="77777777" w:rsidR="00AC5E8F" w:rsidRPr="00AC5E8F" w:rsidRDefault="00AC5E8F" w:rsidP="00AC5E8F">
            <w:pPr>
              <w:pStyle w:val="NormalWeb"/>
              <w:shd w:val="clear" w:color="auto" w:fill="FFFFFF"/>
              <w:tabs>
                <w:tab w:val="left" w:pos="13287"/>
                <w:tab w:val="right" w:pos="13467"/>
              </w:tabs>
              <w:spacing w:before="120" w:beforeAutospacing="0" w:after="120" w:afterAutospacing="0" w:line="264" w:lineRule="auto"/>
              <w:ind w:firstLine="281"/>
              <w:contextualSpacing/>
              <w:jc w:val="both"/>
              <w:rPr>
                <w:bCs/>
                <w:kern w:val="28"/>
                <w:sz w:val="22"/>
                <w:szCs w:val="22"/>
                <w:lang w:eastAsia="x-none"/>
              </w:rPr>
            </w:pPr>
            <w:r w:rsidRPr="00AC5E8F">
              <w:rPr>
                <w:bCs/>
                <w:kern w:val="28"/>
                <w:sz w:val="22"/>
                <w:szCs w:val="22"/>
                <w:lang w:eastAsia="x-none"/>
              </w:rPr>
              <w:t xml:space="preserve">Hiện nay có rất nhiều tổ chức, cá nhân (không là thành viên công ty hay cổ đông công ty) đề nghị trích lục, cung cấp thông tin của doanh nghiệp được </w:t>
            </w:r>
            <w:r w:rsidRPr="00AC5E8F">
              <w:rPr>
                <w:color w:val="000000"/>
                <w:sz w:val="22"/>
                <w:szCs w:val="22"/>
              </w:rPr>
              <w:t>lưu giữ trên Hệ thống thông tin quốc gia về đăng ký doanh nghiệp</w:t>
            </w:r>
            <w:r w:rsidRPr="00AC5E8F">
              <w:rPr>
                <w:i/>
                <w:iCs/>
                <w:color w:val="000000"/>
                <w:sz w:val="22"/>
                <w:szCs w:val="22"/>
              </w:rPr>
              <w:t xml:space="preserve"> </w:t>
            </w:r>
            <w:r w:rsidRPr="00AC5E8F">
              <w:rPr>
                <w:bCs/>
                <w:kern w:val="28"/>
                <w:sz w:val="22"/>
                <w:szCs w:val="22"/>
                <w:lang w:eastAsia="x-none"/>
              </w:rPr>
              <w:t xml:space="preserve">như: </w:t>
            </w:r>
            <w:r w:rsidRPr="00AC5E8F">
              <w:rPr>
                <w:color w:val="000000"/>
                <w:sz w:val="22"/>
                <w:szCs w:val="22"/>
              </w:rPr>
              <w:t>điều lệ công ty, hợp đồng chuyển nhượng vốn góp, biên bản họp, quyết định, nghị quyết hội đồng cổ đông công ty...</w:t>
            </w:r>
            <w:r w:rsidRPr="00AC5E8F">
              <w:rPr>
                <w:bCs/>
                <w:kern w:val="28"/>
                <w:sz w:val="22"/>
                <w:szCs w:val="22"/>
                <w:lang w:eastAsia="x-none"/>
              </w:rPr>
              <w:t xml:space="preserve"> theo quy định tại khoản 1 Điều 33 Luật Doanh nghiệp 2020. </w:t>
            </w:r>
          </w:p>
          <w:p w14:paraId="0E796BA0" w14:textId="330549C9" w:rsidR="00AC5E8F" w:rsidRPr="00AC5E8F" w:rsidRDefault="00AC5E8F" w:rsidP="00AC5E8F">
            <w:pPr>
              <w:jc w:val="both"/>
              <w:rPr>
                <w:sz w:val="22"/>
                <w:szCs w:val="22"/>
              </w:rPr>
            </w:pPr>
            <w:r w:rsidRPr="00AC5E8F">
              <w:rPr>
                <w:bCs/>
                <w:kern w:val="28"/>
                <w:sz w:val="22"/>
                <w:szCs w:val="22"/>
                <w:lang w:eastAsia="x-none"/>
              </w:rPr>
              <w:t xml:space="preserve">  Nhưng theo khoản 2 </w:t>
            </w:r>
            <w:r w:rsidRPr="00AC5E8F">
              <w:rPr>
                <w:color w:val="000000"/>
                <w:sz w:val="22"/>
                <w:szCs w:val="22"/>
              </w:rPr>
              <w:t xml:space="preserve">Điều 36 Nghị định số 01/2021/NĐ-CP chưa quy định rõ các tài liệu đăng ký </w:t>
            </w:r>
            <w:r w:rsidRPr="00AC5E8F">
              <w:rPr>
                <w:color w:val="000000"/>
                <w:sz w:val="22"/>
                <w:szCs w:val="22"/>
              </w:rPr>
              <w:lastRenderedPageBreak/>
              <w:t xml:space="preserve">kinh doanh </w:t>
            </w:r>
            <w:r w:rsidRPr="00AC5E8F">
              <w:rPr>
                <w:bCs/>
                <w:kern w:val="28"/>
                <w:sz w:val="22"/>
                <w:szCs w:val="22"/>
                <w:lang w:eastAsia="x-none"/>
              </w:rPr>
              <w:t xml:space="preserve">được </w:t>
            </w:r>
            <w:r w:rsidRPr="00AC5E8F">
              <w:rPr>
                <w:color w:val="000000"/>
                <w:sz w:val="22"/>
                <w:szCs w:val="22"/>
              </w:rPr>
              <w:t>lưu giữ trên Hệ thống thông tin quốc gia về đăng ký doanh nghiệp được cung cấp, vì các tài liệu: điều lệ công ty, hợp đồng chuyển nhượng vốn góp, biên bản họp, quyết định, nghị quyết hội đồng cổ đông công ty là tài liệu nội bộ của doanh nghiệp. nếu cung cấp các tài liệu này cho cá nhân không là thành viên hay cổ đồng công ty sẽ bị khiếu nại, khiếu kiện.</w:t>
            </w:r>
          </w:p>
        </w:tc>
        <w:tc>
          <w:tcPr>
            <w:tcW w:w="2268" w:type="dxa"/>
          </w:tcPr>
          <w:p w14:paraId="2AB5B832" w14:textId="77777777" w:rsidR="00AC5E8F" w:rsidRPr="00AC5E8F" w:rsidRDefault="00AC5E8F" w:rsidP="00AC5E8F">
            <w:pPr>
              <w:tabs>
                <w:tab w:val="right" w:pos="13467"/>
              </w:tabs>
              <w:spacing w:before="60" w:after="60" w:line="264" w:lineRule="auto"/>
              <w:jc w:val="both"/>
              <w:rPr>
                <w:color w:val="000000" w:themeColor="text1"/>
                <w:sz w:val="22"/>
                <w:szCs w:val="22"/>
              </w:rPr>
            </w:pPr>
            <w:r w:rsidRPr="00AC5E8F">
              <w:rPr>
                <w:color w:val="000000" w:themeColor="text1"/>
                <w:sz w:val="22"/>
                <w:szCs w:val="22"/>
              </w:rPr>
              <w:lastRenderedPageBreak/>
              <w:t>K</w:t>
            </w:r>
            <w:r w:rsidRPr="00AC5E8F">
              <w:rPr>
                <w:color w:val="000000" w:themeColor="text1"/>
                <w:sz w:val="22"/>
                <w:szCs w:val="22"/>
                <w:lang w:val="vi-VN"/>
              </w:rPr>
              <w:t>iến nghị</w:t>
            </w:r>
            <w:r w:rsidRPr="00AC5E8F">
              <w:rPr>
                <w:color w:val="000000" w:themeColor="text1"/>
                <w:sz w:val="22"/>
                <w:szCs w:val="22"/>
              </w:rPr>
              <w:t xml:space="preserve"> có hướng dẫn thống nhất, chi tiết, rõ ràng về việc hồ sơ tài liệu cần cung cấp, đối tượng cần cung cấp và cách thức cung cấp </w:t>
            </w:r>
          </w:p>
          <w:p w14:paraId="632281A9" w14:textId="77777777" w:rsidR="00AC5E8F" w:rsidRPr="00AC5E8F" w:rsidRDefault="00AC5E8F" w:rsidP="00AC5E8F">
            <w:pPr>
              <w:jc w:val="both"/>
              <w:rPr>
                <w:sz w:val="22"/>
                <w:szCs w:val="22"/>
              </w:rPr>
            </w:pPr>
          </w:p>
        </w:tc>
        <w:tc>
          <w:tcPr>
            <w:tcW w:w="2590" w:type="dxa"/>
          </w:tcPr>
          <w:p w14:paraId="3DD51480" w14:textId="1868309B" w:rsidR="00AC5E8F" w:rsidRPr="00AC5E8F" w:rsidRDefault="00AC5E8F" w:rsidP="00AC5E8F">
            <w:pPr>
              <w:jc w:val="both"/>
              <w:rPr>
                <w:sz w:val="22"/>
                <w:szCs w:val="22"/>
              </w:rPr>
            </w:pPr>
            <w:r w:rsidRPr="00AC5E8F">
              <w:rPr>
                <w:color w:val="000000" w:themeColor="text1"/>
                <w:sz w:val="22"/>
                <w:szCs w:val="22"/>
              </w:rPr>
              <w:t>Chính phủ, Bộ kế hoạch và Đầu tư</w:t>
            </w:r>
          </w:p>
        </w:tc>
      </w:tr>
      <w:tr w:rsidR="00AC5E8F" w14:paraId="0188CCE4" w14:textId="77777777" w:rsidTr="00807B48">
        <w:tc>
          <w:tcPr>
            <w:tcW w:w="704" w:type="dxa"/>
          </w:tcPr>
          <w:p w14:paraId="7D1A8D00" w14:textId="5393DAF7" w:rsidR="00AC5E8F" w:rsidRPr="000D23DC" w:rsidRDefault="00F2360C" w:rsidP="000D23DC">
            <w:pPr>
              <w:jc w:val="center"/>
              <w:rPr>
                <w:b/>
                <w:bCs/>
                <w:sz w:val="22"/>
                <w:szCs w:val="22"/>
              </w:rPr>
            </w:pPr>
            <w:r w:rsidRPr="000D23DC">
              <w:rPr>
                <w:b/>
                <w:bCs/>
                <w:sz w:val="22"/>
                <w:szCs w:val="22"/>
              </w:rPr>
              <w:lastRenderedPageBreak/>
              <w:t>2</w:t>
            </w:r>
          </w:p>
        </w:tc>
        <w:tc>
          <w:tcPr>
            <w:tcW w:w="2590" w:type="dxa"/>
          </w:tcPr>
          <w:p w14:paraId="6B2B5FAA" w14:textId="0806E88D" w:rsidR="00AC5E8F" w:rsidRPr="00AC5E8F" w:rsidRDefault="00AC5E8F" w:rsidP="00AC5E8F">
            <w:pPr>
              <w:tabs>
                <w:tab w:val="left" w:pos="720"/>
                <w:tab w:val="left" w:pos="930"/>
                <w:tab w:val="right" w:pos="13467"/>
                <w:tab w:val="left" w:pos="14580"/>
              </w:tabs>
              <w:spacing w:before="120" w:after="120" w:line="264" w:lineRule="auto"/>
              <w:jc w:val="both"/>
              <w:rPr>
                <w:b/>
                <w:color w:val="000000" w:themeColor="text1"/>
                <w:sz w:val="22"/>
                <w:szCs w:val="22"/>
              </w:rPr>
            </w:pPr>
            <w:r w:rsidRPr="00AC5E8F">
              <w:rPr>
                <w:b/>
                <w:kern w:val="28"/>
                <w:sz w:val="22"/>
                <w:szCs w:val="22"/>
                <w:lang w:eastAsia="x-none"/>
              </w:rPr>
              <w:t xml:space="preserve">     Nghị định</w:t>
            </w:r>
            <w:r w:rsidR="00DF510E">
              <w:rPr>
                <w:b/>
                <w:kern w:val="28"/>
                <w:sz w:val="22"/>
                <w:szCs w:val="22"/>
                <w:lang w:eastAsia="x-none"/>
              </w:rPr>
              <w:t xml:space="preserve"> số</w:t>
            </w:r>
            <w:r w:rsidRPr="00AC5E8F">
              <w:rPr>
                <w:b/>
                <w:kern w:val="28"/>
                <w:sz w:val="22"/>
                <w:szCs w:val="22"/>
                <w:lang w:eastAsia="x-none"/>
              </w:rPr>
              <w:t xml:space="preserve"> 01/2021/NĐ-CP ngày 04/01/2021 của Chính phủ về đăng ký doanh nghiệp</w:t>
            </w:r>
            <w:r w:rsidRPr="00AC5E8F">
              <w:rPr>
                <w:b/>
                <w:color w:val="000000" w:themeColor="text1"/>
                <w:sz w:val="22"/>
                <w:szCs w:val="22"/>
              </w:rPr>
              <w:t xml:space="preserve"> </w:t>
            </w:r>
          </w:p>
          <w:p w14:paraId="431227B7" w14:textId="76B152CE" w:rsidR="00AC5E8F" w:rsidRPr="00AC5E8F" w:rsidRDefault="00AC5E8F" w:rsidP="00AC5E8F">
            <w:pPr>
              <w:tabs>
                <w:tab w:val="left" w:pos="720"/>
                <w:tab w:val="left" w:pos="930"/>
                <w:tab w:val="right" w:pos="13467"/>
                <w:tab w:val="left" w:pos="14580"/>
              </w:tabs>
              <w:spacing w:before="120" w:after="120" w:line="264" w:lineRule="auto"/>
              <w:jc w:val="both"/>
              <w:rPr>
                <w:b/>
                <w:color w:val="000000" w:themeColor="text1"/>
                <w:sz w:val="22"/>
                <w:szCs w:val="22"/>
              </w:rPr>
            </w:pPr>
            <w:r w:rsidRPr="00AC5E8F">
              <w:rPr>
                <w:b/>
                <w:color w:val="000000" w:themeColor="text1"/>
                <w:sz w:val="22"/>
                <w:szCs w:val="22"/>
              </w:rPr>
              <w:t xml:space="preserve">     Thông tư 01/2021/TT-BKHĐT ngày 16/3/2021 Thông tư của Bộ trưởng Bộ Kế hoạch đầu tư hướng dẫn về đăng ký doanh nghiệp</w:t>
            </w:r>
          </w:p>
          <w:p w14:paraId="7EA03A8C" w14:textId="77777777" w:rsidR="00AC5E8F" w:rsidRPr="00AC5E8F" w:rsidRDefault="00AC5E8F" w:rsidP="00AC5E8F">
            <w:pPr>
              <w:jc w:val="both"/>
              <w:rPr>
                <w:sz w:val="22"/>
                <w:szCs w:val="22"/>
              </w:rPr>
            </w:pPr>
          </w:p>
        </w:tc>
        <w:tc>
          <w:tcPr>
            <w:tcW w:w="4923" w:type="dxa"/>
          </w:tcPr>
          <w:p w14:paraId="2A8A6A21" w14:textId="0FAF18F9" w:rsidR="00AC5E8F" w:rsidRPr="00AC5E8F" w:rsidRDefault="00AC5E8F" w:rsidP="00AC5E8F">
            <w:pPr>
              <w:pStyle w:val="NormalWeb"/>
              <w:shd w:val="clear" w:color="auto" w:fill="FFFFFF"/>
              <w:spacing w:before="120" w:beforeAutospacing="0" w:after="120" w:afterAutospacing="0" w:line="234" w:lineRule="atLeast"/>
              <w:jc w:val="both"/>
              <w:rPr>
                <w:i/>
                <w:iCs/>
                <w:color w:val="000000"/>
                <w:sz w:val="22"/>
                <w:szCs w:val="22"/>
              </w:rPr>
            </w:pPr>
            <w:r w:rsidRPr="00AC5E8F">
              <w:rPr>
                <w:color w:val="000000" w:themeColor="text1"/>
                <w:sz w:val="22"/>
                <w:szCs w:val="22"/>
                <w:lang w:val="nb-NO"/>
              </w:rPr>
              <w:t xml:space="preserve">- Điều 42 </w:t>
            </w:r>
            <w:r w:rsidRPr="00AC5E8F">
              <w:rPr>
                <w:bCs/>
                <w:sz w:val="22"/>
                <w:szCs w:val="22"/>
              </w:rPr>
              <w:t>Luật Doanh nghiệp quy định “</w:t>
            </w:r>
            <w:r w:rsidRPr="00AC5E8F">
              <w:rPr>
                <w:bCs/>
                <w:i/>
                <w:iCs/>
                <w:sz w:val="22"/>
                <w:szCs w:val="22"/>
              </w:rPr>
              <w:t>T</w:t>
            </w:r>
            <w:r w:rsidRPr="00AC5E8F">
              <w:rPr>
                <w:i/>
                <w:iCs/>
                <w:color w:val="000000"/>
                <w:sz w:val="22"/>
                <w:szCs w:val="22"/>
              </w:rPr>
              <w:t>rụ sở chính của doanh nghiệp đặt trên lãnh thổ Việt Nam, là địa chỉ liên lạc của doanh nghiệp và được xác định theo địa giới đơn vị hành chính; có số điện thoại, số fax và thư điện tử (nếu có).</w:t>
            </w:r>
          </w:p>
          <w:p w14:paraId="1B1634E1" w14:textId="5542CC79" w:rsidR="00AC5E8F" w:rsidRPr="00AC5E8F" w:rsidRDefault="00AC5E8F" w:rsidP="00AC5E8F">
            <w:pPr>
              <w:pStyle w:val="NormalWeb"/>
              <w:shd w:val="clear" w:color="auto" w:fill="FFFFFF"/>
              <w:spacing w:before="120" w:beforeAutospacing="0" w:after="120" w:afterAutospacing="0" w:line="234" w:lineRule="atLeast"/>
              <w:jc w:val="both"/>
              <w:rPr>
                <w:i/>
                <w:iCs/>
                <w:color w:val="000000"/>
                <w:sz w:val="22"/>
                <w:szCs w:val="22"/>
              </w:rPr>
            </w:pPr>
            <w:r w:rsidRPr="00AC5E8F">
              <w:rPr>
                <w:bCs/>
                <w:sz w:val="22"/>
                <w:szCs w:val="22"/>
              </w:rPr>
              <w:t>- Khoản 2 Điều 9 Nghị định số 01/2021/NĐ-CP quy định</w:t>
            </w:r>
            <w:r w:rsidRPr="00AC5E8F">
              <w:rPr>
                <w:color w:val="000000"/>
                <w:sz w:val="22"/>
                <w:szCs w:val="22"/>
              </w:rPr>
              <w:t xml:space="preserve"> </w:t>
            </w:r>
            <w:r w:rsidR="000D23DC" w:rsidRPr="000D23DC">
              <w:rPr>
                <w:color w:val="000000"/>
                <w:sz w:val="22"/>
                <w:szCs w:val="22"/>
              </w:rPr>
              <w:t>“</w:t>
            </w:r>
            <w:r w:rsidRPr="000D23DC">
              <w:rPr>
                <w:i/>
                <w:iCs/>
                <w:color w:val="000000"/>
                <w:sz w:val="22"/>
                <w:szCs w:val="22"/>
              </w:rPr>
              <w:t>cơ quan đăng ký kinh doanh không được yêu cầu người thành lập doanh nghiệp hoặc doanh nghiệp nộp thêm hồ sơ hoặc giấy tờ khác ngoài các giấy tờ trong hồ sơ đăng ký doanh nghiệp theo quy định tại </w:t>
            </w:r>
            <w:bookmarkStart w:id="9" w:name="tvpllink_vschxswiyw_1"/>
            <w:r w:rsidRPr="000D23DC">
              <w:rPr>
                <w:i/>
                <w:iCs/>
                <w:color w:val="000000"/>
                <w:sz w:val="22"/>
                <w:szCs w:val="22"/>
              </w:rPr>
              <w:fldChar w:fldCharType="begin"/>
            </w:r>
            <w:r w:rsidRPr="000D23DC">
              <w:rPr>
                <w:i/>
                <w:iCs/>
                <w:color w:val="000000"/>
                <w:sz w:val="22"/>
                <w:szCs w:val="22"/>
              </w:rPr>
              <w:instrText>HYPERLINK "https://thuvienphapluat.vn/van-ban/Doanh-nghiep/Luat-Doanh-nghiep-so-59-2020-QH14-427301.aspx" \t "_blank"</w:instrText>
            </w:r>
            <w:r w:rsidRPr="000D23DC">
              <w:rPr>
                <w:i/>
                <w:iCs/>
                <w:color w:val="000000"/>
                <w:sz w:val="22"/>
                <w:szCs w:val="22"/>
              </w:rPr>
              <w:fldChar w:fldCharType="separate"/>
            </w:r>
            <w:r w:rsidRPr="000D23DC">
              <w:rPr>
                <w:rStyle w:val="Hyperlink"/>
                <w:i/>
                <w:iCs/>
                <w:color w:val="000000"/>
                <w:sz w:val="22"/>
                <w:szCs w:val="22"/>
                <w:u w:val="none"/>
              </w:rPr>
              <w:t>Luật Doanh nghiệp</w:t>
            </w:r>
            <w:bookmarkEnd w:id="9"/>
            <w:r w:rsidRPr="000D23DC">
              <w:rPr>
                <w:i/>
                <w:iCs/>
                <w:color w:val="000000"/>
                <w:sz w:val="22"/>
                <w:szCs w:val="22"/>
              </w:rPr>
              <w:fldChar w:fldCharType="end"/>
            </w:r>
            <w:r w:rsidRPr="000D23DC">
              <w:rPr>
                <w:i/>
                <w:iCs/>
                <w:color w:val="000000"/>
                <w:sz w:val="22"/>
                <w:szCs w:val="22"/>
              </w:rPr>
              <w:t> và Nghị định này.</w:t>
            </w:r>
            <w:r w:rsidR="000D23DC" w:rsidRPr="000D23DC">
              <w:rPr>
                <w:i/>
                <w:iCs/>
                <w:color w:val="000000"/>
                <w:sz w:val="22"/>
                <w:szCs w:val="22"/>
              </w:rPr>
              <w:t>”</w:t>
            </w:r>
          </w:p>
          <w:p w14:paraId="3DF75AC1" w14:textId="77777777" w:rsidR="00AC5E8F" w:rsidRPr="00AC5E8F" w:rsidRDefault="00AC5E8F" w:rsidP="00AC5E8F">
            <w:pPr>
              <w:pStyle w:val="NormalWeb"/>
              <w:shd w:val="clear" w:color="auto" w:fill="FFFFFF"/>
              <w:spacing w:before="120" w:beforeAutospacing="0" w:after="120" w:afterAutospacing="0" w:line="234" w:lineRule="atLeast"/>
              <w:jc w:val="both"/>
              <w:rPr>
                <w:i/>
                <w:iCs/>
                <w:color w:val="000000"/>
                <w:sz w:val="22"/>
                <w:szCs w:val="22"/>
              </w:rPr>
            </w:pPr>
            <w:r w:rsidRPr="00AC5E8F">
              <w:rPr>
                <w:bCs/>
                <w:sz w:val="22"/>
                <w:szCs w:val="22"/>
              </w:rPr>
              <w:t>- Mẫu giấy đề nghị đăng ký doanh nghiệp ban hành kèm theo Thông tư 01/2021/TT-BKHĐT quy định</w:t>
            </w:r>
            <w:r w:rsidRPr="00AC5E8F">
              <w:rPr>
                <w:i/>
                <w:iCs/>
                <w:color w:val="000000"/>
                <w:sz w:val="22"/>
                <w:szCs w:val="22"/>
              </w:rPr>
              <w:t xml:space="preserve"> Trụ sở chính thuộc quyền sở hữu/quyền sử dụng hợp pháp của công ty và được sử dụng đúng mục đích theo quy định của pháp luật</w:t>
            </w:r>
          </w:p>
          <w:p w14:paraId="55616EBC" w14:textId="77777777" w:rsidR="00AC5E8F" w:rsidRPr="00AC5E8F" w:rsidRDefault="00AC5E8F" w:rsidP="00AC5E8F">
            <w:pPr>
              <w:pStyle w:val="NormalWeb"/>
              <w:shd w:val="clear" w:color="auto" w:fill="FFFFFF"/>
              <w:spacing w:before="120" w:beforeAutospacing="0" w:after="120" w:afterAutospacing="0" w:line="234" w:lineRule="atLeast"/>
              <w:jc w:val="both"/>
              <w:rPr>
                <w:bCs/>
                <w:sz w:val="22"/>
                <w:szCs w:val="22"/>
              </w:rPr>
            </w:pPr>
            <w:r w:rsidRPr="00AC5E8F">
              <w:rPr>
                <w:bCs/>
                <w:sz w:val="22"/>
                <w:szCs w:val="22"/>
              </w:rPr>
              <w:t xml:space="preserve">Theo quy định này, trong thành phần hồ sơ đăng ký thành lập mới doanh nghiệp thuộc tất cả các loại hình doanh nghiệp đều không có thành phần hồ sơ chứng minh Trụ sở chính của doanh nghiệp có thuộc quyền sở hữu/quyền sử dụng hợp pháp của doanh nghiệp và được sử dụng đúng mục đích theo quy định của pháp luật. Do đó, cơ quan đăng ký kinh doanh không có chức năng và không thể xác định được về việc Trụ sở chính của doanh nghiệp có thuộc quyền sở hữu/quyền sử dụng hợp pháp của doanh nghiệp và được sử dụng đúng mục đích theo quy định của pháp luật hay không. </w:t>
            </w:r>
          </w:p>
          <w:p w14:paraId="63F30F4F" w14:textId="15E20D39" w:rsidR="00AC5E8F" w:rsidRPr="00AC5E8F" w:rsidRDefault="00AC5E8F" w:rsidP="00AC5E8F">
            <w:pPr>
              <w:jc w:val="both"/>
              <w:rPr>
                <w:sz w:val="22"/>
                <w:szCs w:val="22"/>
              </w:rPr>
            </w:pPr>
            <w:r w:rsidRPr="00AC5E8F">
              <w:rPr>
                <w:bCs/>
                <w:sz w:val="22"/>
                <w:szCs w:val="22"/>
              </w:rPr>
              <w:t xml:space="preserve">Trên thực tế điều này gây khó khăn, vướng mắc cho cơ quan đăng ký kinh doanh và các cơ quan chức năng </w:t>
            </w:r>
            <w:r w:rsidRPr="00AC5E8F">
              <w:rPr>
                <w:bCs/>
                <w:sz w:val="22"/>
                <w:szCs w:val="22"/>
              </w:rPr>
              <w:lastRenderedPageBreak/>
              <w:t xml:space="preserve">có thẩm quyền liên quan trong các trường hợp xảy ra tranh chấp giữa các doanh nghiệp về địa chỉ trụ sở chính như trùng địa chỉ, địa chỉ trụ sở chính không thuộc quyền sở hữu/quyền sử dụng hợp pháp của doanh nghiệp,….Đồng thời, việc hậu kiểm kiểm tra địa chỉ trụ sở chính không chỉ cơ quan đăng ký kinh doanh mà phải có sự phối hợp giữa cơ quan quản lý Thuế, các sở ban ngành liên quan (Công an tỉnh, cơ quan Thuế, các Sở chuyên ngành,…)  </w:t>
            </w:r>
          </w:p>
        </w:tc>
        <w:tc>
          <w:tcPr>
            <w:tcW w:w="2268" w:type="dxa"/>
          </w:tcPr>
          <w:p w14:paraId="7E9F2CAD" w14:textId="0C1414AF" w:rsidR="00AC5E8F" w:rsidRPr="00AC5E8F" w:rsidRDefault="00AC5E8F" w:rsidP="00AC5E8F">
            <w:pPr>
              <w:jc w:val="both"/>
              <w:rPr>
                <w:sz w:val="22"/>
                <w:szCs w:val="22"/>
              </w:rPr>
            </w:pPr>
            <w:r w:rsidRPr="00AC5E8F">
              <w:rPr>
                <w:bCs/>
                <w:sz w:val="22"/>
                <w:szCs w:val="22"/>
              </w:rPr>
              <w:lastRenderedPageBreak/>
              <w:t xml:space="preserve">   Kiến nghị cơ quan có thẩm quyền</w:t>
            </w:r>
            <w:r w:rsidR="00DF510E">
              <w:rPr>
                <w:bCs/>
                <w:sz w:val="22"/>
                <w:szCs w:val="22"/>
              </w:rPr>
              <w:t xml:space="preserve"> </w:t>
            </w:r>
            <w:r w:rsidRPr="00AC5E8F">
              <w:rPr>
                <w:bCs/>
                <w:sz w:val="22"/>
                <w:szCs w:val="22"/>
              </w:rPr>
              <w:t>quy định chi tiết hơn rõ ràng hơn để có căn cứ pháp lý khi xử lý vi phạm của doanh nghiệp liên quan đến địa chỉ trụ sở chính</w:t>
            </w:r>
          </w:p>
        </w:tc>
        <w:tc>
          <w:tcPr>
            <w:tcW w:w="2590" w:type="dxa"/>
          </w:tcPr>
          <w:p w14:paraId="3B81E707" w14:textId="07AB2EEC" w:rsidR="00AC5E8F" w:rsidRPr="00AC5E8F" w:rsidRDefault="00AC5E8F" w:rsidP="00AC5E8F">
            <w:pPr>
              <w:jc w:val="both"/>
              <w:rPr>
                <w:sz w:val="22"/>
                <w:szCs w:val="22"/>
              </w:rPr>
            </w:pPr>
            <w:r w:rsidRPr="00AC5E8F">
              <w:rPr>
                <w:sz w:val="22"/>
                <w:szCs w:val="22"/>
              </w:rPr>
              <w:t>Bộ Kế hoạch và Đầu tư</w:t>
            </w:r>
          </w:p>
        </w:tc>
      </w:tr>
      <w:tr w:rsidR="00AC5E8F" w14:paraId="30BFB977" w14:textId="77777777" w:rsidTr="00807B48">
        <w:tc>
          <w:tcPr>
            <w:tcW w:w="704" w:type="dxa"/>
          </w:tcPr>
          <w:p w14:paraId="7BEDFA1D" w14:textId="77777777" w:rsidR="00DF510E" w:rsidRDefault="00DF510E" w:rsidP="000D23DC">
            <w:pPr>
              <w:jc w:val="center"/>
              <w:rPr>
                <w:b/>
                <w:bCs/>
                <w:sz w:val="22"/>
                <w:szCs w:val="22"/>
              </w:rPr>
            </w:pPr>
          </w:p>
          <w:p w14:paraId="2D337175" w14:textId="796A3E89" w:rsidR="00AC5E8F" w:rsidRPr="000D23DC" w:rsidRDefault="00F2360C" w:rsidP="000D23DC">
            <w:pPr>
              <w:jc w:val="center"/>
              <w:rPr>
                <w:b/>
                <w:bCs/>
                <w:sz w:val="22"/>
                <w:szCs w:val="22"/>
              </w:rPr>
            </w:pPr>
            <w:r w:rsidRPr="000D23DC">
              <w:rPr>
                <w:b/>
                <w:bCs/>
                <w:sz w:val="22"/>
                <w:szCs w:val="22"/>
              </w:rPr>
              <w:t>3</w:t>
            </w:r>
          </w:p>
        </w:tc>
        <w:tc>
          <w:tcPr>
            <w:tcW w:w="2590" w:type="dxa"/>
          </w:tcPr>
          <w:p w14:paraId="29946561" w14:textId="1A1F15E2" w:rsidR="00AC5E8F" w:rsidRPr="00AC5E8F" w:rsidRDefault="00AC5E8F" w:rsidP="00AC5E8F">
            <w:pPr>
              <w:tabs>
                <w:tab w:val="left" w:pos="720"/>
                <w:tab w:val="left" w:pos="930"/>
                <w:tab w:val="right" w:pos="13467"/>
                <w:tab w:val="left" w:pos="14580"/>
              </w:tabs>
              <w:spacing w:before="120" w:after="120" w:line="264" w:lineRule="auto"/>
              <w:jc w:val="both"/>
              <w:rPr>
                <w:b/>
                <w:kern w:val="28"/>
                <w:sz w:val="22"/>
                <w:szCs w:val="22"/>
                <w:lang w:eastAsia="x-none"/>
              </w:rPr>
            </w:pPr>
            <w:r w:rsidRPr="00AC5E8F">
              <w:rPr>
                <w:b/>
                <w:sz w:val="22"/>
                <w:szCs w:val="22"/>
              </w:rPr>
              <w:t xml:space="preserve">   Nghị định số 80/2021/NĐ - CP ngày 26/8/2021 của Chính phủ quy định  chi tiết và hướng dẫn thi hành một số điều của </w:t>
            </w:r>
            <w:bookmarkStart w:id="10" w:name="tvpllink_xltikrplam_2"/>
            <w:r w:rsidRPr="00AC5E8F">
              <w:rPr>
                <w:b/>
                <w:sz w:val="22"/>
                <w:szCs w:val="22"/>
              </w:rPr>
              <w:fldChar w:fldCharType="begin"/>
            </w:r>
            <w:r w:rsidRPr="00AC5E8F">
              <w:rPr>
                <w:b/>
                <w:sz w:val="22"/>
                <w:szCs w:val="22"/>
              </w:rPr>
              <w:instrText>HYPERLINK "https://thuvienphapluat.vn/van-ban/Doanh-nghiep/Luat-Ho-tro-doanh-nghiep-nho-va-vua-2017-320905.aspx" \t "_blank"</w:instrText>
            </w:r>
            <w:r w:rsidRPr="00AC5E8F">
              <w:rPr>
                <w:b/>
                <w:sz w:val="22"/>
                <w:szCs w:val="22"/>
              </w:rPr>
              <w:fldChar w:fldCharType="separate"/>
            </w:r>
            <w:r w:rsidRPr="00AC5E8F">
              <w:rPr>
                <w:rStyle w:val="Hyperlink"/>
                <w:b/>
                <w:color w:val="auto"/>
                <w:sz w:val="22"/>
                <w:szCs w:val="22"/>
                <w:u w:val="none"/>
              </w:rPr>
              <w:t>Luật Hỗ trợ doanh nghiệp nhỏ và vừa</w:t>
            </w:r>
            <w:bookmarkEnd w:id="10"/>
            <w:r w:rsidRPr="00AC5E8F">
              <w:rPr>
                <w:b/>
                <w:sz w:val="22"/>
                <w:szCs w:val="22"/>
              </w:rPr>
              <w:fldChar w:fldCharType="end"/>
            </w:r>
          </w:p>
        </w:tc>
        <w:tc>
          <w:tcPr>
            <w:tcW w:w="4923" w:type="dxa"/>
          </w:tcPr>
          <w:p w14:paraId="3D0205D7" w14:textId="35974D41" w:rsidR="00AC5E8F" w:rsidRPr="00AC5E8F" w:rsidRDefault="00AC5E8F" w:rsidP="00AC5E8F">
            <w:pPr>
              <w:pStyle w:val="NormalWeb"/>
              <w:shd w:val="clear" w:color="auto" w:fill="FFFFFF"/>
              <w:spacing w:before="120" w:beforeAutospacing="0" w:after="120" w:afterAutospacing="0" w:line="234" w:lineRule="atLeast"/>
              <w:jc w:val="both"/>
              <w:rPr>
                <w:color w:val="000000" w:themeColor="text1"/>
                <w:sz w:val="22"/>
                <w:szCs w:val="22"/>
                <w:lang w:val="nb-NO"/>
              </w:rPr>
            </w:pPr>
            <w:r w:rsidRPr="00AC5E8F">
              <w:rPr>
                <w:bCs/>
                <w:sz w:val="22"/>
                <w:szCs w:val="22"/>
              </w:rPr>
              <w:t>Số lượng doanh nghiệp nhỏ và vừa trên địa bàn tỉnh đáp ứng điều kiện được hỗ trợ theo quy định còn hạn chế; hồ sơ, thủ tục hỗ trợ kinh phí cho doanh nghiệp nhỏ và vừa còn phức tạp và mức kinh phí hỗ trợ còn thấp, nhiều nội dung yêu cầu kinh phí đối ứng của doanh nghiệp nhỏ và vừa với số kinh phí lớn nên một số doanh nghiệp nhỏ và vừa xin tạm dừng không triển khai thực hiện theo kế hoạch. Bên cạnh đó chưa có Thông tư hướng dẫn cụ thể về cơ chế sử dụng kinh phí ngân sách nhà nước hỗ trợ doanh nghiệp nhỏ và vừa của Bộ Tài chính.</w:t>
            </w:r>
          </w:p>
        </w:tc>
        <w:tc>
          <w:tcPr>
            <w:tcW w:w="2268" w:type="dxa"/>
          </w:tcPr>
          <w:p w14:paraId="087B7B67" w14:textId="77777777" w:rsidR="00AC5E8F" w:rsidRPr="00AC5E8F" w:rsidRDefault="00AC5E8F" w:rsidP="00AC5E8F">
            <w:pPr>
              <w:widowControl w:val="0"/>
              <w:tabs>
                <w:tab w:val="right" w:pos="13467"/>
              </w:tabs>
              <w:spacing w:before="120" w:after="120"/>
              <w:jc w:val="both"/>
              <w:rPr>
                <w:color w:val="000000" w:themeColor="text1"/>
                <w:sz w:val="22"/>
                <w:szCs w:val="22"/>
                <w:lang w:val="nb-NO"/>
              </w:rPr>
            </w:pPr>
            <w:r w:rsidRPr="00AC5E8F">
              <w:rPr>
                <w:color w:val="000000" w:themeColor="text1"/>
                <w:sz w:val="22"/>
                <w:szCs w:val="22"/>
                <w:lang w:val="nb-NO"/>
              </w:rPr>
              <w:t>Kiến nghị ban hành Thông tư hướng dẫn cụ thể về cơ chế sử dụng kinh phí ngân sách nhà nước hỗ trợ doanh nghiệp nhỏ và vừa</w:t>
            </w:r>
          </w:p>
          <w:p w14:paraId="11A6ED83" w14:textId="77777777" w:rsidR="00AC5E8F" w:rsidRPr="00AC5E8F" w:rsidRDefault="00AC5E8F" w:rsidP="00AC5E8F">
            <w:pPr>
              <w:jc w:val="both"/>
              <w:rPr>
                <w:bCs/>
                <w:sz w:val="22"/>
                <w:szCs w:val="22"/>
              </w:rPr>
            </w:pPr>
          </w:p>
        </w:tc>
        <w:tc>
          <w:tcPr>
            <w:tcW w:w="2590" w:type="dxa"/>
          </w:tcPr>
          <w:p w14:paraId="4BF27D5A" w14:textId="4B5DC1A1" w:rsidR="00AC5E8F" w:rsidRPr="00AC5E8F" w:rsidRDefault="00AC5E8F" w:rsidP="00AC5E8F">
            <w:pPr>
              <w:jc w:val="both"/>
              <w:rPr>
                <w:sz w:val="22"/>
                <w:szCs w:val="22"/>
              </w:rPr>
            </w:pPr>
            <w:r w:rsidRPr="00AC5E8F">
              <w:rPr>
                <w:sz w:val="22"/>
                <w:szCs w:val="22"/>
              </w:rPr>
              <w:t>Bộ Kế hoạch và Đầu tư</w:t>
            </w:r>
          </w:p>
        </w:tc>
      </w:tr>
      <w:tr w:rsidR="00AC5E8F" w14:paraId="0EDD26DF" w14:textId="77777777" w:rsidTr="002F1BC3">
        <w:tc>
          <w:tcPr>
            <w:tcW w:w="13075" w:type="dxa"/>
            <w:gridSpan w:val="5"/>
          </w:tcPr>
          <w:p w14:paraId="19E55AE8" w14:textId="3038E726" w:rsidR="00AC5E8F" w:rsidRPr="00F2360C" w:rsidRDefault="00DF510E" w:rsidP="00DF510E">
            <w:pPr>
              <w:rPr>
                <w:b/>
                <w:bCs/>
                <w:sz w:val="22"/>
                <w:szCs w:val="22"/>
              </w:rPr>
            </w:pPr>
            <w:r>
              <w:rPr>
                <w:b/>
                <w:bCs/>
                <w:sz w:val="22"/>
                <w:szCs w:val="22"/>
              </w:rPr>
              <w:t xml:space="preserve">III. </w:t>
            </w:r>
            <w:r w:rsidR="00AC5E8F" w:rsidRPr="00F2360C">
              <w:rPr>
                <w:b/>
                <w:bCs/>
                <w:sz w:val="22"/>
                <w:szCs w:val="22"/>
              </w:rPr>
              <w:t>LĨNH VỰC LAO ĐỘNG</w:t>
            </w:r>
          </w:p>
        </w:tc>
      </w:tr>
      <w:tr w:rsidR="00AC5E8F" w14:paraId="65431D58" w14:textId="77777777" w:rsidTr="00807B48">
        <w:tc>
          <w:tcPr>
            <w:tcW w:w="704" w:type="dxa"/>
          </w:tcPr>
          <w:p w14:paraId="662D0277" w14:textId="3396CFDA" w:rsidR="00AC5E8F" w:rsidRPr="000D23DC" w:rsidRDefault="00F2360C" w:rsidP="000D23DC">
            <w:pPr>
              <w:jc w:val="center"/>
              <w:rPr>
                <w:b/>
                <w:bCs/>
                <w:sz w:val="22"/>
                <w:szCs w:val="22"/>
              </w:rPr>
            </w:pPr>
            <w:r w:rsidRPr="000D23DC">
              <w:rPr>
                <w:b/>
                <w:bCs/>
                <w:sz w:val="22"/>
                <w:szCs w:val="22"/>
              </w:rPr>
              <w:t>1</w:t>
            </w:r>
          </w:p>
        </w:tc>
        <w:tc>
          <w:tcPr>
            <w:tcW w:w="2590" w:type="dxa"/>
          </w:tcPr>
          <w:p w14:paraId="67C47DD3" w14:textId="7C601E48" w:rsidR="00AC5E8F" w:rsidRPr="00AC5E8F" w:rsidRDefault="00AC5E8F" w:rsidP="00AC5E8F">
            <w:pPr>
              <w:jc w:val="both"/>
              <w:rPr>
                <w:sz w:val="22"/>
                <w:szCs w:val="22"/>
              </w:rPr>
            </w:pPr>
            <w:r w:rsidRPr="00AC5E8F">
              <w:rPr>
                <w:b/>
                <w:iCs/>
                <w:sz w:val="22"/>
                <w:szCs w:val="22"/>
              </w:rPr>
              <w:t>Bộ luật lao động năm 2019</w:t>
            </w:r>
          </w:p>
        </w:tc>
        <w:tc>
          <w:tcPr>
            <w:tcW w:w="4923" w:type="dxa"/>
          </w:tcPr>
          <w:p w14:paraId="26E9F625" w14:textId="43FEE82E" w:rsidR="00AC5E8F" w:rsidRPr="00AC5E8F" w:rsidRDefault="00AC5E8F" w:rsidP="00AC5E8F">
            <w:pPr>
              <w:tabs>
                <w:tab w:val="right" w:pos="13467"/>
              </w:tabs>
              <w:spacing w:line="264" w:lineRule="auto"/>
              <w:ind w:firstLine="172"/>
              <w:jc w:val="both"/>
              <w:rPr>
                <w:i/>
                <w:iCs/>
                <w:sz w:val="22"/>
                <w:szCs w:val="22"/>
              </w:rPr>
            </w:pPr>
            <w:r w:rsidRPr="00AC5E8F">
              <w:rPr>
                <w:sz w:val="22"/>
                <w:szCs w:val="22"/>
              </w:rPr>
              <w:t>Khoản 1</w:t>
            </w:r>
            <w:r w:rsidR="000D23DC">
              <w:rPr>
                <w:sz w:val="22"/>
                <w:szCs w:val="22"/>
              </w:rPr>
              <w:t xml:space="preserve"> </w:t>
            </w:r>
            <w:r w:rsidRPr="00AC5E8F">
              <w:rPr>
                <w:sz w:val="22"/>
                <w:szCs w:val="22"/>
              </w:rPr>
              <w:t xml:space="preserve">Điều 14 có quy định: </w:t>
            </w:r>
            <w:r w:rsidRPr="00AC5E8F">
              <w:rPr>
                <w:i/>
                <w:iCs/>
                <w:sz w:val="22"/>
                <w:szCs w:val="22"/>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14:paraId="781BE562" w14:textId="7894B7D0" w:rsidR="00AC5E8F" w:rsidRPr="00AC5E8F" w:rsidRDefault="00AC5E8F" w:rsidP="00AC5E8F">
            <w:pPr>
              <w:jc w:val="both"/>
              <w:rPr>
                <w:sz w:val="22"/>
                <w:szCs w:val="22"/>
              </w:rPr>
            </w:pPr>
            <w:r w:rsidRPr="00AC5E8F">
              <w:rPr>
                <w:sz w:val="22"/>
                <w:szCs w:val="22"/>
              </w:rPr>
              <w:t>Tuy nhiên chưa có văn bản hướng dẫn cụ thể việc thực hiện nội dung này</w:t>
            </w:r>
          </w:p>
        </w:tc>
        <w:tc>
          <w:tcPr>
            <w:tcW w:w="2268" w:type="dxa"/>
          </w:tcPr>
          <w:p w14:paraId="613BE9B8" w14:textId="7C5CA69D" w:rsidR="00AC5E8F" w:rsidRPr="00AC5E8F" w:rsidRDefault="00AC5E8F" w:rsidP="00AC5E8F">
            <w:pPr>
              <w:jc w:val="both"/>
              <w:rPr>
                <w:sz w:val="22"/>
                <w:szCs w:val="22"/>
              </w:rPr>
            </w:pPr>
            <w:r w:rsidRPr="00AC5E8F">
              <w:rPr>
                <w:noProof/>
                <w:sz w:val="22"/>
                <w:szCs w:val="22"/>
              </w:rPr>
              <w:t xml:space="preserve">Đề nghị </w:t>
            </w:r>
            <w:r w:rsidRPr="00AC5E8F">
              <w:rPr>
                <w:sz w:val="22"/>
                <w:szCs w:val="22"/>
              </w:rPr>
              <w:t>Bộ Lao động - Thương binh và Xã hội có hướng dẫn cụ thể về việc thực hiện Hợp đồng lao động điện tử.</w:t>
            </w:r>
          </w:p>
        </w:tc>
        <w:tc>
          <w:tcPr>
            <w:tcW w:w="2590" w:type="dxa"/>
          </w:tcPr>
          <w:p w14:paraId="52822144" w14:textId="0970BF36" w:rsidR="00AC5E8F" w:rsidRPr="00AC5E8F" w:rsidRDefault="00AC5E8F" w:rsidP="00AC5E8F">
            <w:pPr>
              <w:jc w:val="both"/>
              <w:rPr>
                <w:sz w:val="22"/>
                <w:szCs w:val="22"/>
              </w:rPr>
            </w:pPr>
            <w:r w:rsidRPr="00AC5E8F">
              <w:rPr>
                <w:sz w:val="22"/>
                <w:szCs w:val="22"/>
              </w:rPr>
              <w:t>Bộ Lao động - Thương binh và Xã hội</w:t>
            </w:r>
          </w:p>
        </w:tc>
      </w:tr>
      <w:tr w:rsidR="00AC5E8F" w14:paraId="389E3227" w14:textId="77777777" w:rsidTr="00107B4A">
        <w:tc>
          <w:tcPr>
            <w:tcW w:w="13075" w:type="dxa"/>
            <w:gridSpan w:val="5"/>
          </w:tcPr>
          <w:p w14:paraId="3D3BC26A" w14:textId="6280397B" w:rsidR="00AC5E8F" w:rsidRPr="000D23DC" w:rsidRDefault="008C6770" w:rsidP="008C6770">
            <w:pPr>
              <w:rPr>
                <w:b/>
                <w:bCs/>
                <w:sz w:val="22"/>
                <w:szCs w:val="22"/>
              </w:rPr>
            </w:pPr>
            <w:r>
              <w:rPr>
                <w:b/>
                <w:bCs/>
                <w:sz w:val="22"/>
                <w:szCs w:val="22"/>
              </w:rPr>
              <w:t xml:space="preserve">IV. </w:t>
            </w:r>
            <w:r w:rsidR="00AC5E8F" w:rsidRPr="000D23DC">
              <w:rPr>
                <w:b/>
                <w:bCs/>
                <w:sz w:val="22"/>
                <w:szCs w:val="22"/>
              </w:rPr>
              <w:t>LĨNH VỰC THÔNG TIN VÀ TRUYỀN THÔNG</w:t>
            </w:r>
          </w:p>
        </w:tc>
      </w:tr>
      <w:tr w:rsidR="00AC5E8F" w14:paraId="7B219E49" w14:textId="77777777" w:rsidTr="00807B48">
        <w:tc>
          <w:tcPr>
            <w:tcW w:w="704" w:type="dxa"/>
          </w:tcPr>
          <w:p w14:paraId="27F6CD3F" w14:textId="2B17962D" w:rsidR="00AC5E8F" w:rsidRPr="000D23DC" w:rsidRDefault="00F2360C" w:rsidP="000D23DC">
            <w:pPr>
              <w:jc w:val="center"/>
              <w:rPr>
                <w:b/>
                <w:bCs/>
                <w:sz w:val="22"/>
                <w:szCs w:val="22"/>
              </w:rPr>
            </w:pPr>
            <w:r w:rsidRPr="000D23DC">
              <w:rPr>
                <w:b/>
                <w:bCs/>
                <w:sz w:val="22"/>
                <w:szCs w:val="22"/>
              </w:rPr>
              <w:t>1</w:t>
            </w:r>
          </w:p>
        </w:tc>
        <w:tc>
          <w:tcPr>
            <w:tcW w:w="2590" w:type="dxa"/>
          </w:tcPr>
          <w:p w14:paraId="422CC3E0" w14:textId="57A6D77E" w:rsidR="00AC5E8F" w:rsidRPr="00AC5E8F" w:rsidRDefault="00AC5E8F" w:rsidP="00AC5E8F">
            <w:pPr>
              <w:jc w:val="both"/>
              <w:rPr>
                <w:sz w:val="22"/>
                <w:szCs w:val="22"/>
              </w:rPr>
            </w:pPr>
            <w:r w:rsidRPr="00AC5E8F">
              <w:rPr>
                <w:b/>
                <w:iCs/>
                <w:sz w:val="22"/>
                <w:szCs w:val="22"/>
              </w:rPr>
              <w:t xml:space="preserve">Luật viễn thông 2009 </w:t>
            </w:r>
          </w:p>
        </w:tc>
        <w:tc>
          <w:tcPr>
            <w:tcW w:w="4923" w:type="dxa"/>
          </w:tcPr>
          <w:p w14:paraId="4A6347FC" w14:textId="5C432EBC" w:rsidR="00AC5E8F" w:rsidRPr="00AC5E8F" w:rsidRDefault="000D23DC" w:rsidP="00AC5E8F">
            <w:pPr>
              <w:jc w:val="both"/>
              <w:rPr>
                <w:sz w:val="22"/>
                <w:szCs w:val="22"/>
              </w:rPr>
            </w:pPr>
            <w:r>
              <w:rPr>
                <w:noProof/>
                <w:sz w:val="22"/>
                <w:szCs w:val="22"/>
              </w:rPr>
              <w:t xml:space="preserve">   </w:t>
            </w:r>
            <w:r w:rsidR="00AC5E8F" w:rsidRPr="00AC5E8F">
              <w:rPr>
                <w:noProof/>
                <w:sz w:val="22"/>
                <w:szCs w:val="22"/>
              </w:rPr>
              <w:t>Luật Viễn thông đang trong quá trình xây dựng dự thảo sửa đổi nhưng dự thảo chưa có nội dung quy định đối với ngầm hóa mạng cáp viễn thông, cụ thể chưa quy định về: bắt buộc ngầm hóa, sử dụng chung hạ tầng kỹ thuật ngầm nhằm đảo bảo mỹ quan đô thị đối với các dự án khu đô thị mới, khu công nghiệp, khu tái định cư, khu dân cư mới, các tuyến đường chính nâng cấp, cải tạo, mở rộng</w:t>
            </w:r>
          </w:p>
        </w:tc>
        <w:tc>
          <w:tcPr>
            <w:tcW w:w="2268" w:type="dxa"/>
          </w:tcPr>
          <w:p w14:paraId="5DCD5FB1" w14:textId="155A7D5D" w:rsidR="00AC5E8F" w:rsidRPr="00AC5E8F" w:rsidRDefault="00AC5E8F" w:rsidP="00AC5E8F">
            <w:pPr>
              <w:jc w:val="both"/>
              <w:rPr>
                <w:sz w:val="22"/>
                <w:szCs w:val="22"/>
              </w:rPr>
            </w:pPr>
            <w:r w:rsidRPr="00AC5E8F">
              <w:rPr>
                <w:noProof/>
                <w:sz w:val="22"/>
                <w:szCs w:val="22"/>
              </w:rPr>
              <w:t xml:space="preserve">  Đề nghị bổ sung quy định đối với công tác ngầm hóa cáp viễn thông vào Luật Viễn thông (sửa đổi) để có hành lang pháp lý đối với công tác ngầm hóa cáp viễn thông</w:t>
            </w:r>
          </w:p>
        </w:tc>
        <w:tc>
          <w:tcPr>
            <w:tcW w:w="2590" w:type="dxa"/>
          </w:tcPr>
          <w:p w14:paraId="2ADCFEA4" w14:textId="4B8809B7" w:rsidR="00AC5E8F" w:rsidRPr="00AC5E8F" w:rsidRDefault="00AC5E8F" w:rsidP="00AC5E8F">
            <w:pPr>
              <w:jc w:val="both"/>
              <w:rPr>
                <w:sz w:val="22"/>
                <w:szCs w:val="22"/>
              </w:rPr>
            </w:pPr>
            <w:r w:rsidRPr="00AC5E8F">
              <w:rPr>
                <w:bCs/>
                <w:iCs/>
                <w:sz w:val="22"/>
                <w:szCs w:val="22"/>
              </w:rPr>
              <w:t>Bộ Thông tin và truyền thông</w:t>
            </w:r>
          </w:p>
        </w:tc>
      </w:tr>
    </w:tbl>
    <w:p w14:paraId="5DABB2E0" w14:textId="77777777" w:rsidR="00BE58BD" w:rsidRDefault="00BE58BD"/>
    <w:sectPr w:rsidR="00BE58BD" w:rsidSect="008C6770">
      <w:headerReference w:type="default" r:id="rId6"/>
      <w:pgSz w:w="15840" w:h="12240" w:orient="landscape"/>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DD55" w14:textId="77777777" w:rsidR="008C6770" w:rsidRDefault="008C6770" w:rsidP="008C6770">
      <w:r>
        <w:separator/>
      </w:r>
    </w:p>
  </w:endnote>
  <w:endnote w:type="continuationSeparator" w:id="0">
    <w:p w14:paraId="2034ADD7" w14:textId="77777777" w:rsidR="008C6770" w:rsidRDefault="008C6770" w:rsidP="008C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A7266" w14:textId="77777777" w:rsidR="008C6770" w:rsidRDefault="008C6770" w:rsidP="008C6770">
      <w:r>
        <w:separator/>
      </w:r>
    </w:p>
  </w:footnote>
  <w:footnote w:type="continuationSeparator" w:id="0">
    <w:p w14:paraId="5C86A9AD" w14:textId="77777777" w:rsidR="008C6770" w:rsidRDefault="008C6770" w:rsidP="008C6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437026"/>
      <w:docPartObj>
        <w:docPartGallery w:val="Page Numbers (Top of Page)"/>
        <w:docPartUnique/>
      </w:docPartObj>
    </w:sdtPr>
    <w:sdtEndPr>
      <w:rPr>
        <w:noProof/>
      </w:rPr>
    </w:sdtEndPr>
    <w:sdtContent>
      <w:p w14:paraId="5CE5D54F" w14:textId="2C9CA8BE" w:rsidR="008C6770" w:rsidRDefault="008C6770">
        <w:pPr>
          <w:pStyle w:val="Header"/>
          <w:jc w:val="center"/>
        </w:pPr>
        <w:r>
          <w:fldChar w:fldCharType="begin"/>
        </w:r>
        <w:r>
          <w:instrText xml:space="preserve"> PAGE   \* MERGEFORMAT </w:instrText>
        </w:r>
        <w:r>
          <w:fldChar w:fldCharType="separate"/>
        </w:r>
        <w:r w:rsidR="002F65B0">
          <w:rPr>
            <w:noProof/>
          </w:rPr>
          <w:t>8</w:t>
        </w:r>
        <w:r>
          <w:rPr>
            <w:noProof/>
          </w:rPr>
          <w:fldChar w:fldCharType="end"/>
        </w:r>
      </w:p>
    </w:sdtContent>
  </w:sdt>
  <w:p w14:paraId="79CFA644" w14:textId="77777777" w:rsidR="008C6770" w:rsidRDefault="008C6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48"/>
    <w:rsid w:val="000D23DC"/>
    <w:rsid w:val="002F65B0"/>
    <w:rsid w:val="004419F2"/>
    <w:rsid w:val="00807B48"/>
    <w:rsid w:val="008C6770"/>
    <w:rsid w:val="009D6FBC"/>
    <w:rsid w:val="00AC5E8F"/>
    <w:rsid w:val="00B22D92"/>
    <w:rsid w:val="00BE58BD"/>
    <w:rsid w:val="00C16756"/>
    <w:rsid w:val="00DF510E"/>
    <w:rsid w:val="00F2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D266"/>
  <w15:chartTrackingRefBased/>
  <w15:docId w15:val="{6AD7ACA5-CB8B-4C61-BC18-C865DA78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48"/>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22D92"/>
    <w:pPr>
      <w:spacing w:before="100" w:beforeAutospacing="1" w:after="100" w:afterAutospacing="1"/>
    </w:pPr>
  </w:style>
  <w:style w:type="character" w:customStyle="1" w:styleId="NormalWebChar">
    <w:name w:val="Normal (Web) Char"/>
    <w:link w:val="NormalWeb"/>
    <w:uiPriority w:val="99"/>
    <w:locked/>
    <w:rsid w:val="00B22D92"/>
    <w:rPr>
      <w:rFonts w:eastAsia="Times New Roman" w:cs="Times New Roman"/>
      <w:kern w:val="0"/>
      <w:sz w:val="24"/>
      <w:szCs w:val="24"/>
      <w14:ligatures w14:val="none"/>
    </w:rPr>
  </w:style>
  <w:style w:type="paragraph" w:styleId="ListParagraph">
    <w:name w:val="List Paragraph"/>
    <w:aliases w:val="GACH NGANG,List Paragraph (numbered (a)),List Paragraph1,Sub-heading,List Paragraph11,Bullet 2,ADB paragraph numbering"/>
    <w:basedOn w:val="Normal"/>
    <w:link w:val="ListParagraphChar"/>
    <w:uiPriority w:val="34"/>
    <w:qFormat/>
    <w:rsid w:val="00B22D92"/>
    <w:pPr>
      <w:ind w:left="720"/>
      <w:contextualSpacing/>
    </w:pPr>
  </w:style>
  <w:style w:type="character" w:customStyle="1" w:styleId="ListParagraphChar">
    <w:name w:val="List Paragraph Char"/>
    <w:aliases w:val="GACH NGANG Char,List Paragraph (numbered (a)) Char,List Paragraph1 Char,Sub-heading Char,List Paragraph11 Char,Bullet 2 Char,ADB paragraph numbering Char"/>
    <w:link w:val="ListParagraph"/>
    <w:uiPriority w:val="34"/>
    <w:locked/>
    <w:rsid w:val="00B22D92"/>
    <w:rPr>
      <w:rFonts w:eastAsia="Times New Roman" w:cs="Times New Roman"/>
      <w:kern w:val="0"/>
      <w:sz w:val="24"/>
      <w:szCs w:val="24"/>
      <w14:ligatures w14:val="none"/>
    </w:rPr>
  </w:style>
  <w:style w:type="character" w:styleId="Hyperlink">
    <w:name w:val="Hyperlink"/>
    <w:uiPriority w:val="99"/>
    <w:unhideWhenUsed/>
    <w:rsid w:val="00B22D92"/>
    <w:rPr>
      <w:color w:val="0000FF"/>
      <w:u w:val="single"/>
    </w:rPr>
  </w:style>
  <w:style w:type="paragraph" w:styleId="Header">
    <w:name w:val="header"/>
    <w:basedOn w:val="Normal"/>
    <w:link w:val="HeaderChar"/>
    <w:uiPriority w:val="99"/>
    <w:unhideWhenUsed/>
    <w:rsid w:val="008C6770"/>
    <w:pPr>
      <w:tabs>
        <w:tab w:val="center" w:pos="4680"/>
        <w:tab w:val="right" w:pos="9360"/>
      </w:tabs>
    </w:pPr>
  </w:style>
  <w:style w:type="character" w:customStyle="1" w:styleId="HeaderChar">
    <w:name w:val="Header Char"/>
    <w:basedOn w:val="DefaultParagraphFont"/>
    <w:link w:val="Header"/>
    <w:uiPriority w:val="99"/>
    <w:rsid w:val="008C6770"/>
    <w:rPr>
      <w:rFonts w:eastAsia="Times New Roman" w:cs="Times New Roman"/>
      <w:kern w:val="0"/>
      <w:sz w:val="24"/>
      <w:szCs w:val="24"/>
      <w14:ligatures w14:val="none"/>
    </w:rPr>
  </w:style>
  <w:style w:type="paragraph" w:styleId="Footer">
    <w:name w:val="footer"/>
    <w:basedOn w:val="Normal"/>
    <w:link w:val="FooterChar"/>
    <w:uiPriority w:val="99"/>
    <w:unhideWhenUsed/>
    <w:rsid w:val="008C6770"/>
    <w:pPr>
      <w:tabs>
        <w:tab w:val="center" w:pos="4680"/>
        <w:tab w:val="right" w:pos="9360"/>
      </w:tabs>
    </w:pPr>
  </w:style>
  <w:style w:type="character" w:customStyle="1" w:styleId="FooterChar">
    <w:name w:val="Footer Char"/>
    <w:basedOn w:val="DefaultParagraphFont"/>
    <w:link w:val="Footer"/>
    <w:uiPriority w:val="99"/>
    <w:rsid w:val="008C6770"/>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chi_dung</dc:creator>
  <cp:keywords/>
  <dc:description/>
  <cp:lastModifiedBy>DAI</cp:lastModifiedBy>
  <cp:revision>8</cp:revision>
  <cp:lastPrinted>2023-12-01T10:21:00Z</cp:lastPrinted>
  <dcterms:created xsi:type="dcterms:W3CDTF">2023-12-01T10:01:00Z</dcterms:created>
  <dcterms:modified xsi:type="dcterms:W3CDTF">2023-12-01T10:51:00Z</dcterms:modified>
</cp:coreProperties>
</file>