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5" w:type="dxa"/>
        <w:tblLayout w:type="fixed"/>
        <w:tblLook w:val="01E0" w:firstRow="1" w:lastRow="1" w:firstColumn="1" w:lastColumn="1" w:noHBand="0" w:noVBand="0"/>
      </w:tblPr>
      <w:tblGrid>
        <w:gridCol w:w="3544"/>
        <w:gridCol w:w="5811"/>
      </w:tblGrid>
      <w:tr w:rsidR="003746DA" w:rsidRPr="00B77D9C" w14:paraId="6B784AB7" w14:textId="77777777" w:rsidTr="001F50C9">
        <w:tc>
          <w:tcPr>
            <w:tcW w:w="3544" w:type="dxa"/>
          </w:tcPr>
          <w:p w14:paraId="56C5BB85" w14:textId="77777777" w:rsidR="003746DA" w:rsidRPr="000F4438" w:rsidRDefault="003746DA" w:rsidP="003734E1">
            <w:pPr>
              <w:spacing w:after="0" w:line="240" w:lineRule="auto"/>
              <w:jc w:val="center"/>
              <w:rPr>
                <w:rFonts w:eastAsia="Times New Roman"/>
                <w:sz w:val="26"/>
                <w:szCs w:val="26"/>
              </w:rPr>
            </w:pPr>
            <w:r w:rsidRPr="000F4438">
              <w:rPr>
                <w:rFonts w:eastAsia="Times New Roman"/>
                <w:sz w:val="26"/>
                <w:szCs w:val="26"/>
              </w:rPr>
              <w:t>UBND TỈNH LÂM ĐỒNG</w:t>
            </w:r>
          </w:p>
          <w:p w14:paraId="7AB7C95C" w14:textId="77777777" w:rsidR="003746DA" w:rsidRPr="000F4438" w:rsidRDefault="003746DA" w:rsidP="003734E1">
            <w:pPr>
              <w:spacing w:after="0" w:line="240" w:lineRule="auto"/>
              <w:jc w:val="center"/>
              <w:rPr>
                <w:rFonts w:eastAsia="Times New Roman"/>
                <w:b/>
                <w:bCs/>
                <w:sz w:val="26"/>
                <w:szCs w:val="26"/>
              </w:rPr>
            </w:pPr>
            <w:r w:rsidRPr="000F4438">
              <w:rPr>
                <w:rFonts w:eastAsia="Times New Roman"/>
                <w:b/>
                <w:bCs/>
                <w:sz w:val="26"/>
                <w:szCs w:val="26"/>
              </w:rPr>
              <w:t>SỞ TƯ PHÁP</w:t>
            </w:r>
          </w:p>
          <w:p w14:paraId="77B4CBC6" w14:textId="28AA00D7" w:rsidR="003746DA" w:rsidRPr="001158C6" w:rsidRDefault="00846611" w:rsidP="00B23653">
            <w:pPr>
              <w:spacing w:before="120" w:after="0" w:line="240" w:lineRule="auto"/>
              <w:jc w:val="center"/>
              <w:rPr>
                <w:rFonts w:eastAsia="Times New Roman"/>
                <w:sz w:val="26"/>
                <w:szCs w:val="26"/>
              </w:rPr>
            </w:pPr>
            <w:r>
              <w:rPr>
                <w:rFonts w:eastAsia="Times New Roman"/>
                <w:noProof/>
                <w:sz w:val="27"/>
                <w:szCs w:val="27"/>
              </w:rPr>
              <mc:AlternateContent>
                <mc:Choice Requires="wps">
                  <w:drawing>
                    <wp:anchor distT="0" distB="0" distL="114300" distR="114300" simplePos="0" relativeHeight="251661312" behindDoc="0" locked="0" layoutInCell="1" allowOverlap="1" wp14:anchorId="2547FFBF" wp14:editId="2F0A4310">
                      <wp:simplePos x="0" y="0"/>
                      <wp:positionH relativeFrom="column">
                        <wp:posOffset>717550</wp:posOffset>
                      </wp:positionH>
                      <wp:positionV relativeFrom="paragraph">
                        <wp:posOffset>26670</wp:posOffset>
                      </wp:positionV>
                      <wp:extent cx="638175" cy="635"/>
                      <wp:effectExtent l="0" t="0" r="2857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A23D9" id="_x0000_t32" coordsize="21600,21600" o:spt="32" o:oned="t" path="m,l21600,21600e" filled="f">
                      <v:path arrowok="t" fillok="f" o:connecttype="none"/>
                      <o:lock v:ext="edit" shapetype="t"/>
                    </v:shapetype>
                    <v:shape id="AutoShape 3" o:spid="_x0000_s1026" type="#_x0000_t32" style="position:absolute;margin-left:56.5pt;margin-top:2.1pt;width:50.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MWHg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"/>
                  </w:pict>
                </mc:Fallback>
              </mc:AlternateContent>
            </w:r>
            <w:r w:rsidR="003746DA" w:rsidRPr="001158C6">
              <w:rPr>
                <w:rFonts w:eastAsia="Times New Roman"/>
                <w:sz w:val="26"/>
                <w:szCs w:val="26"/>
              </w:rPr>
              <w:t>Số:</w:t>
            </w:r>
            <w:r w:rsidR="00B30BCD">
              <w:rPr>
                <w:rFonts w:eastAsia="Times New Roman"/>
                <w:sz w:val="26"/>
                <w:szCs w:val="26"/>
              </w:rPr>
              <w:t xml:space="preserve"> </w:t>
            </w:r>
            <w:r w:rsidR="002768AD">
              <w:rPr>
                <w:rFonts w:eastAsia="Times New Roman"/>
                <w:sz w:val="26"/>
                <w:szCs w:val="26"/>
              </w:rPr>
              <w:t xml:space="preserve"> </w:t>
            </w:r>
            <w:r w:rsidR="00CF7A36">
              <w:rPr>
                <w:rFonts w:eastAsia="Times New Roman"/>
                <w:sz w:val="26"/>
                <w:szCs w:val="26"/>
              </w:rPr>
              <w:t>217</w:t>
            </w:r>
            <w:r w:rsidR="00461C7E">
              <w:rPr>
                <w:rFonts w:eastAsia="Times New Roman"/>
                <w:sz w:val="26"/>
                <w:szCs w:val="26"/>
              </w:rPr>
              <w:t xml:space="preserve"> </w:t>
            </w:r>
            <w:r w:rsidR="003746DA" w:rsidRPr="001158C6">
              <w:rPr>
                <w:rFonts w:eastAsia="Times New Roman"/>
                <w:sz w:val="26"/>
                <w:szCs w:val="26"/>
              </w:rPr>
              <w:t>/STP-</w:t>
            </w:r>
            <w:r w:rsidR="00E35F4F">
              <w:rPr>
                <w:rFonts w:eastAsia="Times New Roman"/>
                <w:sz w:val="26"/>
                <w:szCs w:val="26"/>
              </w:rPr>
              <w:t>TTr</w:t>
            </w:r>
            <w:bookmarkStart w:id="0" w:name="_GoBack"/>
            <w:bookmarkEnd w:id="0"/>
          </w:p>
          <w:p w14:paraId="2CF7A6DC" w14:textId="079AB075" w:rsidR="003746DA" w:rsidRPr="00E715BD" w:rsidRDefault="003746DA" w:rsidP="00E965BF">
            <w:pPr>
              <w:spacing w:after="0" w:line="240" w:lineRule="auto"/>
              <w:jc w:val="center"/>
              <w:rPr>
                <w:rFonts w:eastAsia="Times New Roman"/>
                <w:sz w:val="22"/>
              </w:rPr>
            </w:pPr>
            <w:r w:rsidRPr="004A363B">
              <w:rPr>
                <w:rFonts w:eastAsia="Times New Roman"/>
                <w:sz w:val="24"/>
                <w:szCs w:val="24"/>
              </w:rPr>
              <w:t xml:space="preserve">V/v </w:t>
            </w:r>
            <w:r w:rsidR="006D1AC5">
              <w:rPr>
                <w:rFonts w:eastAsia="Times New Roman"/>
                <w:sz w:val="24"/>
                <w:szCs w:val="24"/>
              </w:rPr>
              <w:t>ý kiến liên quan nội dung đơn kiến nghị của Công ty Cổ phần Hoàng Gia ĐL</w:t>
            </w:r>
            <w:r w:rsidR="003D1AC0">
              <w:rPr>
                <w:sz w:val="24"/>
                <w:szCs w:val="24"/>
              </w:rPr>
              <w:t xml:space="preserve"> </w:t>
            </w:r>
          </w:p>
        </w:tc>
        <w:tc>
          <w:tcPr>
            <w:tcW w:w="5811" w:type="dxa"/>
          </w:tcPr>
          <w:p w14:paraId="33C90144" w14:textId="77777777" w:rsidR="003746DA" w:rsidRPr="00F60D40" w:rsidRDefault="003746DA" w:rsidP="00AB1F2F">
            <w:pPr>
              <w:spacing w:after="0" w:line="240" w:lineRule="auto"/>
              <w:rPr>
                <w:rFonts w:eastAsia="Times New Roman"/>
                <w:b/>
                <w:bCs/>
                <w:sz w:val="26"/>
                <w:szCs w:val="26"/>
              </w:rPr>
            </w:pPr>
            <w:r w:rsidRPr="00F60D40">
              <w:rPr>
                <w:rFonts w:eastAsia="Times New Roman"/>
                <w:b/>
                <w:bCs/>
                <w:sz w:val="26"/>
                <w:szCs w:val="26"/>
              </w:rPr>
              <w:t>CỘNG HÒA XÃ HỘI CHỦ NGHĨA VIỆT NAM</w:t>
            </w:r>
          </w:p>
          <w:p w14:paraId="41426226" w14:textId="77777777" w:rsidR="003746DA" w:rsidRPr="004962E2" w:rsidRDefault="003746DA" w:rsidP="007F32B5">
            <w:pPr>
              <w:spacing w:after="0" w:line="240" w:lineRule="auto"/>
              <w:jc w:val="center"/>
              <w:rPr>
                <w:rFonts w:eastAsia="Times New Roman"/>
                <w:b/>
                <w:bCs/>
                <w:szCs w:val="28"/>
              </w:rPr>
            </w:pPr>
            <w:r w:rsidRPr="004962E2">
              <w:rPr>
                <w:rFonts w:eastAsia="Times New Roman"/>
                <w:b/>
                <w:bCs/>
                <w:szCs w:val="28"/>
              </w:rPr>
              <w:t>Độc lập – Tự do – Hạnh phúc</w:t>
            </w:r>
          </w:p>
          <w:p w14:paraId="2ABC1A7B" w14:textId="19D8C48F" w:rsidR="003746DA" w:rsidRPr="00AB1F2F" w:rsidRDefault="00846611" w:rsidP="00B23653">
            <w:pPr>
              <w:spacing w:before="120" w:after="0" w:line="240" w:lineRule="auto"/>
              <w:jc w:val="center"/>
              <w:rPr>
                <w:rFonts w:eastAsia="Times New Roman"/>
                <w:b/>
                <w:bCs/>
                <w:sz w:val="26"/>
                <w:szCs w:val="26"/>
              </w:rPr>
            </w:pPr>
            <w:r>
              <w:rPr>
                <w:rFonts w:eastAsia="Times New Roman"/>
                <w:noProof/>
                <w:sz w:val="24"/>
                <w:szCs w:val="24"/>
              </w:rPr>
              <mc:AlternateContent>
                <mc:Choice Requires="wps">
                  <w:drawing>
                    <wp:anchor distT="4294967295" distB="4294967295" distL="114300" distR="114300" simplePos="0" relativeHeight="251660288" behindDoc="0" locked="0" layoutInCell="1" allowOverlap="1" wp14:anchorId="562AFD6E" wp14:editId="5C2DCC53">
                      <wp:simplePos x="0" y="0"/>
                      <wp:positionH relativeFrom="column">
                        <wp:posOffset>680085</wp:posOffset>
                      </wp:positionH>
                      <wp:positionV relativeFrom="paragraph">
                        <wp:posOffset>53340</wp:posOffset>
                      </wp:positionV>
                      <wp:extent cx="2171700" cy="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DF85"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2pt" to="22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e8q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"/>
                  </w:pict>
                </mc:Fallback>
              </mc:AlternateContent>
            </w:r>
            <w:r w:rsidR="003746DA" w:rsidRPr="00AB1F2F">
              <w:rPr>
                <w:rFonts w:eastAsia="Times New Roman"/>
                <w:bCs/>
                <w:i/>
                <w:sz w:val="26"/>
                <w:szCs w:val="26"/>
              </w:rPr>
              <w:t>L</w:t>
            </w:r>
            <w:r w:rsidR="003746DA" w:rsidRPr="00AB1F2F">
              <w:rPr>
                <w:rFonts w:eastAsia="Times New Roman"/>
                <w:i/>
                <w:iCs/>
                <w:sz w:val="26"/>
                <w:szCs w:val="26"/>
              </w:rPr>
              <w:t xml:space="preserve">âm Đồng, ngày </w:t>
            </w:r>
            <w:r w:rsidR="00CF7A36">
              <w:rPr>
                <w:rFonts w:eastAsia="Times New Roman"/>
                <w:i/>
                <w:iCs/>
                <w:sz w:val="26"/>
                <w:szCs w:val="26"/>
              </w:rPr>
              <w:t xml:space="preserve"> 22</w:t>
            </w:r>
            <w:r w:rsidR="002768AD">
              <w:rPr>
                <w:rFonts w:eastAsia="Times New Roman"/>
                <w:i/>
                <w:iCs/>
                <w:sz w:val="26"/>
                <w:szCs w:val="26"/>
              </w:rPr>
              <w:t xml:space="preserve"> </w:t>
            </w:r>
            <w:r w:rsidR="00E14848">
              <w:rPr>
                <w:rFonts w:eastAsia="Times New Roman"/>
                <w:i/>
                <w:iCs/>
                <w:sz w:val="26"/>
                <w:szCs w:val="26"/>
              </w:rPr>
              <w:t xml:space="preserve"> </w:t>
            </w:r>
            <w:r w:rsidR="003746DA" w:rsidRPr="00AB1F2F">
              <w:rPr>
                <w:rFonts w:eastAsia="Times New Roman"/>
                <w:i/>
                <w:iCs/>
                <w:sz w:val="26"/>
                <w:szCs w:val="26"/>
              </w:rPr>
              <w:t>tháng</w:t>
            </w:r>
            <w:r w:rsidR="004E2643">
              <w:rPr>
                <w:rFonts w:eastAsia="Times New Roman"/>
                <w:i/>
                <w:iCs/>
                <w:sz w:val="26"/>
                <w:szCs w:val="26"/>
              </w:rPr>
              <w:t xml:space="preserve"> </w:t>
            </w:r>
            <w:r w:rsidR="003746DA" w:rsidRPr="00AB1F2F">
              <w:rPr>
                <w:rFonts w:eastAsia="Times New Roman"/>
                <w:i/>
                <w:iCs/>
                <w:sz w:val="26"/>
                <w:szCs w:val="26"/>
              </w:rPr>
              <w:t xml:space="preserve"> </w:t>
            </w:r>
            <w:r w:rsidR="002768AD">
              <w:rPr>
                <w:rFonts w:eastAsia="Times New Roman"/>
                <w:i/>
                <w:iCs/>
                <w:sz w:val="26"/>
                <w:szCs w:val="26"/>
              </w:rPr>
              <w:t>0</w:t>
            </w:r>
            <w:r w:rsidR="006D1AC5">
              <w:rPr>
                <w:rFonts w:eastAsia="Times New Roman"/>
                <w:i/>
                <w:iCs/>
                <w:sz w:val="26"/>
                <w:szCs w:val="26"/>
              </w:rPr>
              <w:t>2</w:t>
            </w:r>
            <w:r w:rsidR="006833F8">
              <w:rPr>
                <w:rFonts w:eastAsia="Times New Roman"/>
                <w:i/>
                <w:iCs/>
                <w:sz w:val="26"/>
                <w:szCs w:val="26"/>
              </w:rPr>
              <w:t xml:space="preserve"> </w:t>
            </w:r>
            <w:r w:rsidR="00012FD9">
              <w:rPr>
                <w:rFonts w:eastAsia="Times New Roman"/>
                <w:i/>
                <w:iCs/>
                <w:sz w:val="26"/>
                <w:szCs w:val="26"/>
              </w:rPr>
              <w:t xml:space="preserve"> </w:t>
            </w:r>
            <w:r w:rsidR="003746DA" w:rsidRPr="00AB1F2F">
              <w:rPr>
                <w:rFonts w:eastAsia="Times New Roman"/>
                <w:i/>
                <w:iCs/>
                <w:sz w:val="26"/>
                <w:szCs w:val="26"/>
              </w:rPr>
              <w:t>năm 20</w:t>
            </w:r>
            <w:r w:rsidR="00012FD9">
              <w:rPr>
                <w:rFonts w:eastAsia="Times New Roman"/>
                <w:i/>
                <w:iCs/>
                <w:sz w:val="26"/>
                <w:szCs w:val="26"/>
              </w:rPr>
              <w:t>2</w:t>
            </w:r>
            <w:r w:rsidR="002768AD">
              <w:rPr>
                <w:rFonts w:eastAsia="Times New Roman"/>
                <w:i/>
                <w:iCs/>
                <w:sz w:val="26"/>
                <w:szCs w:val="26"/>
              </w:rPr>
              <w:t>4</w:t>
            </w:r>
          </w:p>
          <w:p w14:paraId="0D50AFE3" w14:textId="77777777" w:rsidR="003746DA" w:rsidRPr="004962E2" w:rsidRDefault="003746DA" w:rsidP="003734E1">
            <w:pPr>
              <w:spacing w:after="120" w:line="240" w:lineRule="auto"/>
              <w:rPr>
                <w:rFonts w:eastAsia="Times New Roman"/>
                <w:b/>
                <w:bCs/>
                <w:sz w:val="27"/>
                <w:szCs w:val="27"/>
              </w:rPr>
            </w:pPr>
          </w:p>
        </w:tc>
      </w:tr>
    </w:tbl>
    <w:p w14:paraId="00D7319D" w14:textId="77777777" w:rsidR="003746DA" w:rsidRDefault="003746DA" w:rsidP="003746DA">
      <w:pPr>
        <w:spacing w:after="0" w:line="240" w:lineRule="auto"/>
        <w:ind w:left="1440" w:firstLine="720"/>
        <w:rPr>
          <w:szCs w:val="28"/>
        </w:rPr>
      </w:pPr>
    </w:p>
    <w:p w14:paraId="5A971380" w14:textId="734AAEB3" w:rsidR="003746DA" w:rsidRPr="00A75256" w:rsidRDefault="003746DA" w:rsidP="003D1AC0">
      <w:pPr>
        <w:spacing w:after="0" w:line="240" w:lineRule="auto"/>
        <w:jc w:val="center"/>
        <w:rPr>
          <w:szCs w:val="28"/>
        </w:rPr>
      </w:pPr>
      <w:r w:rsidRPr="00A75256">
        <w:rPr>
          <w:szCs w:val="28"/>
        </w:rPr>
        <w:t xml:space="preserve">Kính gửi: </w:t>
      </w:r>
      <w:r w:rsidR="003D1AC0" w:rsidRPr="00A75256">
        <w:rPr>
          <w:szCs w:val="28"/>
        </w:rPr>
        <w:t xml:space="preserve">Sở </w:t>
      </w:r>
      <w:r w:rsidR="006D1AC5" w:rsidRPr="00A75256">
        <w:rPr>
          <w:szCs w:val="28"/>
        </w:rPr>
        <w:t>Xây dựng</w:t>
      </w:r>
    </w:p>
    <w:p w14:paraId="70D3E991" w14:textId="77777777" w:rsidR="00AB1F2F" w:rsidRPr="00A75256" w:rsidRDefault="00AB1F2F" w:rsidP="00AB1F2F">
      <w:pPr>
        <w:spacing w:after="0" w:line="240" w:lineRule="auto"/>
        <w:ind w:left="1440"/>
        <w:rPr>
          <w:szCs w:val="28"/>
        </w:rPr>
      </w:pPr>
    </w:p>
    <w:p w14:paraId="06A95A15" w14:textId="2A479FB3" w:rsidR="003D1AC0" w:rsidRPr="00A75256" w:rsidRDefault="002768AD" w:rsidP="00731989">
      <w:pPr>
        <w:spacing w:before="60" w:after="60" w:line="264" w:lineRule="auto"/>
        <w:ind w:firstLine="567"/>
        <w:jc w:val="both"/>
        <w:rPr>
          <w:szCs w:val="28"/>
        </w:rPr>
      </w:pPr>
      <w:r w:rsidRPr="00A75256">
        <w:rPr>
          <w:szCs w:val="28"/>
        </w:rPr>
        <w:t>Sở Tư pháp nhận</w:t>
      </w:r>
      <w:r w:rsidR="00461C7E" w:rsidRPr="00A75256">
        <w:rPr>
          <w:szCs w:val="28"/>
        </w:rPr>
        <w:t xml:space="preserve"> Văn bản số </w:t>
      </w:r>
      <w:r w:rsidR="00E965BF" w:rsidRPr="00A75256">
        <w:rPr>
          <w:szCs w:val="28"/>
        </w:rPr>
        <w:t>307</w:t>
      </w:r>
      <w:r w:rsidR="00461C7E" w:rsidRPr="00A75256">
        <w:rPr>
          <w:szCs w:val="28"/>
        </w:rPr>
        <w:t>/</w:t>
      </w:r>
      <w:r w:rsidRPr="00A75256">
        <w:rPr>
          <w:szCs w:val="28"/>
        </w:rPr>
        <w:t>S</w:t>
      </w:r>
      <w:r w:rsidR="00E965BF" w:rsidRPr="00A75256">
        <w:rPr>
          <w:szCs w:val="28"/>
        </w:rPr>
        <w:t>XD</w:t>
      </w:r>
      <w:r w:rsidRPr="00A75256">
        <w:rPr>
          <w:szCs w:val="28"/>
        </w:rPr>
        <w:t>-TTr</w:t>
      </w:r>
      <w:r w:rsidR="00461C7E" w:rsidRPr="00A75256">
        <w:rPr>
          <w:szCs w:val="28"/>
        </w:rPr>
        <w:t xml:space="preserve"> ngày </w:t>
      </w:r>
      <w:r w:rsidR="00E965BF" w:rsidRPr="00A75256">
        <w:rPr>
          <w:szCs w:val="28"/>
        </w:rPr>
        <w:t>16</w:t>
      </w:r>
      <w:r w:rsidR="00461C7E" w:rsidRPr="00A75256">
        <w:rPr>
          <w:szCs w:val="28"/>
        </w:rPr>
        <w:t>/</w:t>
      </w:r>
      <w:r w:rsidRPr="00A75256">
        <w:rPr>
          <w:szCs w:val="28"/>
        </w:rPr>
        <w:t>0</w:t>
      </w:r>
      <w:r w:rsidR="00E965BF" w:rsidRPr="00A75256">
        <w:rPr>
          <w:szCs w:val="28"/>
        </w:rPr>
        <w:t>2</w:t>
      </w:r>
      <w:r w:rsidR="00461C7E" w:rsidRPr="00A75256">
        <w:rPr>
          <w:szCs w:val="28"/>
        </w:rPr>
        <w:t>/202</w:t>
      </w:r>
      <w:r w:rsidRPr="00A75256">
        <w:rPr>
          <w:szCs w:val="28"/>
        </w:rPr>
        <w:t>4</w:t>
      </w:r>
      <w:r w:rsidR="00461C7E" w:rsidRPr="00A75256">
        <w:rPr>
          <w:szCs w:val="28"/>
        </w:rPr>
        <w:t xml:space="preserve"> của </w:t>
      </w:r>
      <w:r w:rsidRPr="00A75256">
        <w:rPr>
          <w:szCs w:val="28"/>
        </w:rPr>
        <w:t xml:space="preserve">Sở </w:t>
      </w:r>
      <w:r w:rsidR="00E965BF" w:rsidRPr="00A75256">
        <w:rPr>
          <w:szCs w:val="28"/>
        </w:rPr>
        <w:t>Xây dựng</w:t>
      </w:r>
      <w:r w:rsidRPr="00A75256">
        <w:rPr>
          <w:szCs w:val="28"/>
        </w:rPr>
        <w:t xml:space="preserve"> về việc </w:t>
      </w:r>
      <w:r w:rsidR="00E965BF" w:rsidRPr="00A75256">
        <w:rPr>
          <w:szCs w:val="28"/>
        </w:rPr>
        <w:t>đề nghị có</w:t>
      </w:r>
      <w:r w:rsidRPr="00A75256">
        <w:rPr>
          <w:szCs w:val="28"/>
        </w:rPr>
        <w:t xml:space="preserve"> ý kiến </w:t>
      </w:r>
      <w:r w:rsidR="00E965BF" w:rsidRPr="00A75256">
        <w:rPr>
          <w:szCs w:val="28"/>
        </w:rPr>
        <w:t>liên quan nội dung đơn  kiến nghị của Công ty Cổ phần Hoàng Gia ĐL, trong đó đề nghị xem xét, rà soát nội dung kiến nghị của Công ty cổ phần Hoàng Gia ĐL theo nội dung đơn ngày 24/01/2024 và đơn ngày 29/01/2024.</w:t>
      </w:r>
    </w:p>
    <w:p w14:paraId="2FC3A364" w14:textId="1D832D01" w:rsidR="0071526D" w:rsidRPr="00A75256" w:rsidRDefault="00E965BF" w:rsidP="00731989">
      <w:pPr>
        <w:spacing w:before="60" w:after="60" w:line="264" w:lineRule="auto"/>
        <w:ind w:firstLine="567"/>
        <w:jc w:val="both"/>
        <w:rPr>
          <w:szCs w:val="28"/>
        </w:rPr>
      </w:pPr>
      <w:r w:rsidRPr="00A75256">
        <w:rPr>
          <w:szCs w:val="28"/>
        </w:rPr>
        <w:t>Sau khi xem xét nội dung các đơn kiến nghị và các tài liệu kèm theo, c</w:t>
      </w:r>
      <w:r w:rsidR="00347303" w:rsidRPr="00A75256">
        <w:rPr>
          <w:szCs w:val="28"/>
        </w:rPr>
        <w:t xml:space="preserve">ăn cứ </w:t>
      </w:r>
      <w:r w:rsidR="00252827" w:rsidRPr="00A75256">
        <w:rPr>
          <w:szCs w:val="28"/>
        </w:rPr>
        <w:t>các</w:t>
      </w:r>
      <w:r w:rsidR="00347303" w:rsidRPr="00A75256">
        <w:rPr>
          <w:szCs w:val="28"/>
        </w:rPr>
        <w:t xml:space="preserve"> quy định của pháp luật về xử lý vi phạm hành chính, </w:t>
      </w:r>
      <w:r w:rsidR="00B06D6F" w:rsidRPr="00A75256">
        <w:rPr>
          <w:szCs w:val="28"/>
        </w:rPr>
        <w:t xml:space="preserve">Sở Tư pháp </w:t>
      </w:r>
      <w:r w:rsidR="003D1AC0" w:rsidRPr="00A75256">
        <w:rPr>
          <w:szCs w:val="28"/>
        </w:rPr>
        <w:t xml:space="preserve">có </w:t>
      </w:r>
      <w:r w:rsidR="00347303" w:rsidRPr="00A75256">
        <w:rPr>
          <w:szCs w:val="28"/>
        </w:rPr>
        <w:t xml:space="preserve">một số </w:t>
      </w:r>
      <w:r w:rsidR="003D1AC0" w:rsidRPr="00A75256">
        <w:rPr>
          <w:szCs w:val="28"/>
        </w:rPr>
        <w:t>ý kiến</w:t>
      </w:r>
      <w:r w:rsidR="003B4C49" w:rsidRPr="00A75256">
        <w:rPr>
          <w:szCs w:val="28"/>
        </w:rPr>
        <w:t xml:space="preserve"> </w:t>
      </w:r>
      <w:r w:rsidR="0071526D" w:rsidRPr="00A75256">
        <w:rPr>
          <w:szCs w:val="28"/>
        </w:rPr>
        <w:t>như sau:</w:t>
      </w:r>
    </w:p>
    <w:p w14:paraId="6D57D370" w14:textId="6EE07B7E" w:rsidR="0041341F" w:rsidRPr="00A75256" w:rsidRDefault="0041341F" w:rsidP="00731989">
      <w:pPr>
        <w:autoSpaceDE w:val="0"/>
        <w:autoSpaceDN w:val="0"/>
        <w:adjustRightInd w:val="0"/>
        <w:spacing w:before="60" w:after="60" w:line="264" w:lineRule="auto"/>
        <w:ind w:right="-20" w:firstLine="567"/>
        <w:jc w:val="both"/>
        <w:rPr>
          <w:b/>
          <w:szCs w:val="28"/>
        </w:rPr>
      </w:pPr>
      <w:r w:rsidRPr="00A75256">
        <w:rPr>
          <w:b/>
          <w:szCs w:val="28"/>
        </w:rPr>
        <w:t xml:space="preserve">1. Đối với </w:t>
      </w:r>
      <w:r w:rsidR="00B379EC" w:rsidRPr="00A75256">
        <w:rPr>
          <w:b/>
          <w:szCs w:val="28"/>
        </w:rPr>
        <w:t>nội dung Đơn kiến nghị ngày 24/01/2024</w:t>
      </w:r>
      <w:r w:rsidR="00BA64B6" w:rsidRPr="00A75256">
        <w:rPr>
          <w:b/>
          <w:szCs w:val="28"/>
        </w:rPr>
        <w:t xml:space="preserve"> của Công ty Cổ phần Hoàng Gia ĐL</w:t>
      </w:r>
    </w:p>
    <w:p w14:paraId="618F7502" w14:textId="04C2544E" w:rsidR="00B379EC" w:rsidRPr="00A75256" w:rsidRDefault="00B379EC" w:rsidP="00731989">
      <w:pPr>
        <w:autoSpaceDE w:val="0"/>
        <w:autoSpaceDN w:val="0"/>
        <w:adjustRightInd w:val="0"/>
        <w:spacing w:before="60" w:after="60" w:line="264" w:lineRule="auto"/>
        <w:ind w:right="-20" w:firstLine="567"/>
        <w:jc w:val="both"/>
        <w:rPr>
          <w:szCs w:val="28"/>
        </w:rPr>
      </w:pPr>
      <w:r w:rsidRPr="00A75256">
        <w:rPr>
          <w:szCs w:val="28"/>
        </w:rPr>
        <w:t>Công ty Cổ phần Hoàng Gia ĐL bị xử phạt vi phạm hành chính về hành vi xây dựng công trình không có giấy phép xây dựng và thiết kế được phê duyệt theo quy định tại điểm c khoản 7 Điều 16 Nghị định số 16/2022/NĐ-CP ngày 28/01/2022 của Chính phủ quy định xử phạt vi phạm hành chính về xây dựng (Quyết định xử phạt vi phạm hành chính số 30/QĐ-XPVPHC ngày 04/01/2024 của Chủ tịch UBND thành phố Đà Lạt)</w:t>
      </w:r>
      <w:r w:rsidR="00DC6F1C" w:rsidRPr="00A75256">
        <w:rPr>
          <w:szCs w:val="28"/>
        </w:rPr>
        <w:t xml:space="preserve"> và hành vi xây dựng công trình sai nội dung giấy phép xây dựng được cấp và bản vẽ thiết kế được phê duyệt</w:t>
      </w:r>
      <w:r w:rsidR="00E04649" w:rsidRPr="00A75256">
        <w:rPr>
          <w:szCs w:val="28"/>
        </w:rPr>
        <w:t xml:space="preserve"> </w:t>
      </w:r>
      <w:r w:rsidR="00DC6F1C" w:rsidRPr="00A75256">
        <w:rPr>
          <w:szCs w:val="28"/>
        </w:rPr>
        <w:t xml:space="preserve">theo quy định tại điểm c khoản 6 Điều 16 Nghị định số 16/2022/NĐ-CP (Quyết định xử phạt vi phạm hành chính số 31/QĐ-XPVPHC ngày 04/01/2024 của Chủ tịch UBND thành phố Đà Lạt). Ngoài hình </w:t>
      </w:r>
      <w:r w:rsidR="00BA3D42" w:rsidRPr="00A75256">
        <w:rPr>
          <w:szCs w:val="28"/>
        </w:rPr>
        <w:t>thức</w:t>
      </w:r>
      <w:r w:rsidR="00DC6F1C" w:rsidRPr="00A75256">
        <w:rPr>
          <w:szCs w:val="28"/>
        </w:rPr>
        <w:t xml:space="preserve"> xử phạt tiền, đối </w:t>
      </w:r>
      <w:r w:rsidR="00E04649" w:rsidRPr="00A75256">
        <w:rPr>
          <w:szCs w:val="28"/>
        </w:rPr>
        <w:t>với hành vi quy định tại khoản</w:t>
      </w:r>
      <w:r w:rsidR="00BA3D42" w:rsidRPr="00A75256">
        <w:rPr>
          <w:szCs w:val="28"/>
        </w:rPr>
        <w:t xml:space="preserve"> 6,</w:t>
      </w:r>
      <w:r w:rsidR="00E04649" w:rsidRPr="00A75256">
        <w:rPr>
          <w:szCs w:val="28"/>
        </w:rPr>
        <w:t xml:space="preserve"> 7 mà đang thi công xây dựng thì còn phải tuân theo trình tự, thủ tục quy định tại Điều 81 Nghị định số 16/2022/NĐ-CP.</w:t>
      </w:r>
      <w:r w:rsidRPr="00A75256">
        <w:rPr>
          <w:szCs w:val="28"/>
        </w:rPr>
        <w:t xml:space="preserve"> </w:t>
      </w:r>
    </w:p>
    <w:p w14:paraId="321D0ABE" w14:textId="0F3B6FF4" w:rsidR="00DC6F1C" w:rsidRPr="00A75256" w:rsidRDefault="00DC6F1C" w:rsidP="00731989">
      <w:pPr>
        <w:autoSpaceDE w:val="0"/>
        <w:autoSpaceDN w:val="0"/>
        <w:adjustRightInd w:val="0"/>
        <w:spacing w:before="60" w:after="60" w:line="264" w:lineRule="auto"/>
        <w:ind w:right="-20" w:firstLine="567"/>
        <w:jc w:val="both"/>
        <w:rPr>
          <w:szCs w:val="28"/>
        </w:rPr>
      </w:pPr>
      <w:r w:rsidRPr="00A75256">
        <w:rPr>
          <w:szCs w:val="28"/>
        </w:rPr>
        <w:t>Theo đó, Điều 81 Nghị định số 16/2022/NĐ-CP quy định:</w:t>
      </w:r>
    </w:p>
    <w:p w14:paraId="174E9F42" w14:textId="3207A1E3" w:rsidR="00DC6F1C" w:rsidRPr="00A75256" w:rsidRDefault="00DC6F1C" w:rsidP="00DC6F1C">
      <w:pPr>
        <w:spacing w:before="60" w:after="60" w:line="264" w:lineRule="auto"/>
        <w:jc w:val="both"/>
        <w:rPr>
          <w:i/>
          <w:szCs w:val="28"/>
        </w:rPr>
      </w:pPr>
      <w:bookmarkStart w:id="1" w:name="dieu_81"/>
      <w:r w:rsidRPr="00A75256">
        <w:rPr>
          <w:bCs/>
          <w:szCs w:val="28"/>
          <w:shd w:val="solid" w:color="FFFFFF" w:fill="auto"/>
        </w:rPr>
        <w:t>“</w:t>
      </w:r>
      <w:r w:rsidRPr="00A75256">
        <w:rPr>
          <w:bCs/>
          <w:i/>
          <w:szCs w:val="28"/>
          <w:shd w:val="solid" w:color="FFFFFF" w:fill="auto"/>
          <w:lang w:val="vi-VN"/>
        </w:rPr>
        <w:t>Điều 81. Trình tự thủ tục thực hiện quy định tại khoản 16 Điều 16 Nghị định này</w:t>
      </w:r>
      <w:bookmarkEnd w:id="1"/>
    </w:p>
    <w:p w14:paraId="3E406312"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Các hành vi quy định tại khoản 4, khoản 6, khoản 7 và khoản 8 Điều 16 Nghị định này thuộc trường hợp đủ điều kiện cấp phép xây dựng hoặc điều chỉnh giấy phép xây dựng hoặc điều chỉnh thiết kế xây dựng mà đang thi công thì xử lý như sau:</w:t>
      </w:r>
    </w:p>
    <w:p w14:paraId="472576F1" w14:textId="77138606" w:rsidR="00DC6F1C" w:rsidRPr="00A75256" w:rsidRDefault="00DC6F1C" w:rsidP="00DC6F1C">
      <w:pPr>
        <w:spacing w:before="60" w:after="60" w:line="264" w:lineRule="auto"/>
        <w:jc w:val="both"/>
        <w:rPr>
          <w:i/>
          <w:szCs w:val="28"/>
        </w:rPr>
      </w:pPr>
      <w:r w:rsidRPr="00A75256">
        <w:rPr>
          <w:i/>
          <w:szCs w:val="28"/>
          <w:shd w:val="solid" w:color="FFFFFF" w:fill="auto"/>
          <w:lang w:val="vi-VN"/>
        </w:rPr>
        <w:t xml:space="preserve">1. </w:t>
      </w:r>
      <w:r w:rsidR="00BA3D42" w:rsidRPr="00A75256">
        <w:rPr>
          <w:i/>
          <w:szCs w:val="28"/>
          <w:shd w:val="solid" w:color="FFFFFF" w:fill="auto"/>
        </w:rPr>
        <w:t>…</w:t>
      </w:r>
      <w:r w:rsidRPr="00A75256">
        <w:rPr>
          <w:i/>
          <w:szCs w:val="28"/>
          <w:shd w:val="solid" w:color="FFFFFF" w:fill="auto"/>
          <w:lang w:val="vi-VN"/>
        </w:rPr>
        <w:t xml:space="preserve"> Trong thời hạn 90 ngày đối với dự án đầu tư xây dựng kể từ ngày ban hành quyết định xử phạt vi phạm hành chính, tổ chức, cá nhân có hành vi vi phạm phải hoàn thành hồ sơ đề nghị cơ quan có thẩm quyền cấp giấy phép xây dựng hoặc giấy phép xây dựng điều chỉnh hoặc thiết kế xây dựng điều chỉnh và có giấy phép xây dựng hoặc giấy phép xây dựng điều chỉnh hoặc thiết kế xây dựng điều chỉnh</w:t>
      </w:r>
      <w:r w:rsidR="00BA3D42" w:rsidRPr="00A75256">
        <w:rPr>
          <w:i/>
          <w:szCs w:val="28"/>
          <w:shd w:val="solid" w:color="FFFFFF" w:fill="auto"/>
        </w:rPr>
        <w:t>..</w:t>
      </w:r>
      <w:r w:rsidRPr="00A75256">
        <w:rPr>
          <w:i/>
          <w:szCs w:val="28"/>
          <w:shd w:val="solid" w:color="FFFFFF" w:fill="auto"/>
          <w:lang w:val="vi-VN"/>
        </w:rPr>
        <w:t>.</w:t>
      </w:r>
    </w:p>
    <w:p w14:paraId="4CFDA72F"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lastRenderedPageBreak/>
        <w:t>Cơ quan nhà nước có thẩm quyền có trách nhiệm cấp giấy phép xây dựng hoặc giấy phép xây dựng điều chỉnh, cơ quan chuyên môn về xây dựng có trách nhiệm thẩm định thiết kế xây dựng điều chỉnh theo quy định của pháp luật.</w:t>
      </w:r>
    </w:p>
    <w:p w14:paraId="3A0392D7"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 xml:space="preserve">2. </w:t>
      </w:r>
      <w:r w:rsidRPr="00A75256">
        <w:rPr>
          <w:i/>
          <w:szCs w:val="28"/>
          <w:shd w:val="solid" w:color="FFFFFF" w:fill="auto"/>
        </w:rPr>
        <w:t xml:space="preserve">Hết </w:t>
      </w:r>
      <w:r w:rsidRPr="00A75256">
        <w:rPr>
          <w:i/>
          <w:szCs w:val="28"/>
          <w:shd w:val="solid" w:color="FFFFFF" w:fill="auto"/>
          <w:lang w:val="vi-VN"/>
        </w:rPr>
        <w:t>thời hạn quy định tại khoản 1 Điều này, tổ chức, cá nhân vi phạm không xuất trình giấy phép xây dựng được cấp hoặc giấy phép xây dựng điều chỉnh hoặc thiết kế xây dựng điều chỉnh đã được thẩm định thì người có thẩm quyền xử phạt ra văn bản thông báo yêu cầu tổ chức, cá nhân vi phạm tự phá dỡ công trình, phần công trình xây dựng vi phạm.</w:t>
      </w:r>
    </w:p>
    <w:p w14:paraId="362507A4"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Trong thời hạn tối đa 15 ngày kể từ ngày gửi văn bản thông báo (tính theo dấu bưu điện) hoặc từ ngày có biên bản bàn giao thông báo, tổ chức, cá nhân có hành vi vi phạm có trách nhiệm thực hiện biện pháp buộc tự phá dỡ công trình, phần công trình xây dựng vi phạm.</w:t>
      </w:r>
    </w:p>
    <w:p w14:paraId="45A2E7A2"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3. Trong thời hạn tối đa 05 ngày kể từ ngày tổ chức, cá nhân có hành vi vi phạm xuất trình giấy phép xây dựng hoặc giấy phép xây dựng điều chỉnh hoặc thiết kế xây dựng điều chỉnh đã được thẩm định, người có thẩm quyền xử phạt có trách nhiệm tổ chức kiểm tra hiện trạng công trình xây dựng, lập biên bản ghi nhận sự phù hợp của hiện trạng công trình với giấy phép xây dựng hoặc giấy phép xây dựng điều chỉnh hoặc thiết kế xây dựng điều chỉnh đã được thẩm định.</w:t>
      </w:r>
    </w:p>
    <w:p w14:paraId="159D0F84"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4. Tổ chức, cá nhân có hành vi vi phạm chỉ được tiếp tục thi công xây dựng nếu biên bản kiểm tra, ghi nhận hiện trạng công trình xác nhận hiện trạng công trình phù hợp với giấy phép xây dựng được cấp, giấy phép xây dựng điều chỉnh hoặc thiết kế xây dựng điều chỉnh đã được thẩm định.</w:t>
      </w:r>
    </w:p>
    <w:p w14:paraId="4568F061" w14:textId="77777777" w:rsidR="00DC6F1C" w:rsidRPr="00A75256" w:rsidRDefault="00DC6F1C" w:rsidP="00DC6F1C">
      <w:pPr>
        <w:spacing w:before="60" w:after="60" w:line="264" w:lineRule="auto"/>
        <w:jc w:val="both"/>
        <w:rPr>
          <w:i/>
          <w:szCs w:val="28"/>
        </w:rPr>
      </w:pPr>
      <w:r w:rsidRPr="00A75256">
        <w:rPr>
          <w:i/>
          <w:szCs w:val="28"/>
          <w:shd w:val="solid" w:color="FFFFFF" w:fill="auto"/>
          <w:lang w:val="vi-VN"/>
        </w:rPr>
        <w:t>Trường hợp hiện trạng công trình không phù hợp với giấy phép xây dựng hoặc giấy phép xây dựng điều chỉnh hoặc thiết kế xây dựng điều chỉnh đã được thẩm định thì trong thời hạn tối đa 15 ngày kể từ ngày lập biên bản kiểm tra, ghi nhận hiện trạng công trình, tổ chức, cá nhân có hành vi vi phạm buộc phá dỡ công trình, phần công trình không phù hợp với giấy phép xây dựng hoặc giấy phép xây dựng điều chỉnh hoặc thiết kế xây dựng điều chỉnh đã được thẩm định.</w:t>
      </w:r>
    </w:p>
    <w:p w14:paraId="0A77B867" w14:textId="6AC72F63" w:rsidR="00DC6F1C" w:rsidRPr="00A75256" w:rsidRDefault="00DC6F1C" w:rsidP="00DC6F1C">
      <w:pPr>
        <w:spacing w:before="60" w:after="60" w:line="264" w:lineRule="auto"/>
        <w:jc w:val="both"/>
        <w:rPr>
          <w:szCs w:val="28"/>
          <w:shd w:val="solid" w:color="FFFFFF" w:fill="auto"/>
        </w:rPr>
      </w:pPr>
      <w:r w:rsidRPr="00A75256">
        <w:rPr>
          <w:i/>
          <w:szCs w:val="28"/>
          <w:shd w:val="solid" w:color="FFFFFF" w:fill="auto"/>
          <w:lang w:val="vi-VN"/>
        </w:rPr>
        <w:t xml:space="preserve">5. </w:t>
      </w:r>
      <w:r w:rsidR="00C63313" w:rsidRPr="00A75256">
        <w:rPr>
          <w:i/>
          <w:szCs w:val="28"/>
          <w:shd w:val="solid" w:color="FFFFFF" w:fill="auto"/>
        </w:rPr>
        <w:t xml:space="preserve">… </w:t>
      </w:r>
      <w:r w:rsidRPr="00A75256">
        <w:rPr>
          <w:i/>
          <w:szCs w:val="28"/>
          <w:shd w:val="solid" w:color="FFFFFF" w:fill="auto"/>
          <w:lang w:val="vi-VN"/>
        </w:rPr>
        <w:t xml:space="preserve">Tổ chức, cá nhân </w:t>
      </w:r>
      <w:r w:rsidRPr="00A75256">
        <w:rPr>
          <w:b/>
          <w:i/>
          <w:szCs w:val="28"/>
          <w:shd w:val="solid" w:color="FFFFFF" w:fill="auto"/>
          <w:lang w:val="vi-VN"/>
        </w:rPr>
        <w:t>không thực hiện biện pháp buộc phá dỡ quy định tại khoản 2 và khoản 4 Điều này thì bị cưỡng chế thi hành theo quy định của pháp luật về xử lý vi phạm hành chính</w:t>
      </w:r>
      <w:r w:rsidRPr="00A75256">
        <w:rPr>
          <w:i/>
          <w:szCs w:val="28"/>
          <w:shd w:val="solid" w:color="FFFFFF" w:fill="auto"/>
        </w:rPr>
        <w:t>”.</w:t>
      </w:r>
    </w:p>
    <w:p w14:paraId="5A5D94D4" w14:textId="77777777" w:rsidR="00BA64B6" w:rsidRPr="00A75256" w:rsidRDefault="00DC6F1C" w:rsidP="00BA64B6">
      <w:pPr>
        <w:autoSpaceDE w:val="0"/>
        <w:autoSpaceDN w:val="0"/>
        <w:adjustRightInd w:val="0"/>
        <w:spacing w:before="60" w:after="60" w:line="264" w:lineRule="auto"/>
        <w:ind w:right="-20" w:firstLine="567"/>
        <w:jc w:val="both"/>
        <w:rPr>
          <w:b/>
          <w:szCs w:val="28"/>
        </w:rPr>
      </w:pPr>
      <w:r w:rsidRPr="00A75256">
        <w:rPr>
          <w:szCs w:val="28"/>
          <w:shd w:val="solid" w:color="FFFFFF" w:fill="auto"/>
        </w:rPr>
        <w:tab/>
      </w:r>
      <w:r w:rsidR="00BA64B6" w:rsidRPr="00A75256">
        <w:rPr>
          <w:b/>
          <w:szCs w:val="28"/>
          <w:shd w:val="solid" w:color="FFFFFF" w:fill="auto"/>
        </w:rPr>
        <w:t>2</w:t>
      </w:r>
      <w:r w:rsidR="00BA64B6" w:rsidRPr="00A75256">
        <w:rPr>
          <w:b/>
          <w:szCs w:val="28"/>
        </w:rPr>
        <w:t>. Đối với nội dung Đơn kiến nghị ngày 29/01/2024 của Công ty Cổ phần Hoàng Gia ĐL</w:t>
      </w:r>
    </w:p>
    <w:p w14:paraId="25E3012F" w14:textId="5961A054" w:rsidR="00754A09" w:rsidRPr="00A75256" w:rsidRDefault="00182F39" w:rsidP="00B92FAA">
      <w:pPr>
        <w:spacing w:before="60" w:after="60" w:line="264" w:lineRule="auto"/>
        <w:ind w:firstLine="567"/>
        <w:jc w:val="both"/>
        <w:rPr>
          <w:szCs w:val="28"/>
        </w:rPr>
      </w:pPr>
      <w:r w:rsidRPr="00A75256">
        <w:rPr>
          <w:szCs w:val="28"/>
        </w:rPr>
        <w:t>Công ty Cổ phần Hoàng Gia ĐL bị xử phạt vi phạm hành chính về hành vi chuyển đất</w:t>
      </w:r>
      <w:r w:rsidR="002F2C44">
        <w:rPr>
          <w:szCs w:val="28"/>
        </w:rPr>
        <w:t xml:space="preserve"> </w:t>
      </w:r>
      <w:r w:rsidRPr="00A75256">
        <w:rPr>
          <w:szCs w:val="28"/>
        </w:rPr>
        <w:t>rừng phòng hộ là rừng trồng sang đất phi nông nghiệp với diện tích 4.629,9m</w:t>
      </w:r>
      <w:r w:rsidRPr="00A75256">
        <w:rPr>
          <w:szCs w:val="28"/>
          <w:vertAlign w:val="superscript"/>
        </w:rPr>
        <w:t xml:space="preserve">2 </w:t>
      </w:r>
      <w:r w:rsidRPr="00A75256">
        <w:rPr>
          <w:szCs w:val="28"/>
        </w:rPr>
        <w:t xml:space="preserve">theo quy định tại điểm </w:t>
      </w:r>
      <w:r w:rsidR="00232930" w:rsidRPr="00A75256">
        <w:rPr>
          <w:szCs w:val="28"/>
        </w:rPr>
        <w:t>d</w:t>
      </w:r>
      <w:r w:rsidRPr="00A75256">
        <w:rPr>
          <w:szCs w:val="28"/>
        </w:rPr>
        <w:t xml:space="preserve"> khoản </w:t>
      </w:r>
      <w:r w:rsidR="00232930" w:rsidRPr="00A75256">
        <w:rPr>
          <w:szCs w:val="28"/>
        </w:rPr>
        <w:t>2</w:t>
      </w:r>
      <w:r w:rsidRPr="00A75256">
        <w:rPr>
          <w:szCs w:val="28"/>
        </w:rPr>
        <w:t xml:space="preserve"> Điều 1</w:t>
      </w:r>
      <w:r w:rsidR="00232930" w:rsidRPr="00A75256">
        <w:rPr>
          <w:szCs w:val="28"/>
        </w:rPr>
        <w:t xml:space="preserve">0 </w:t>
      </w:r>
      <w:r w:rsidRPr="00A75256">
        <w:rPr>
          <w:szCs w:val="28"/>
        </w:rPr>
        <w:t xml:space="preserve">Nghị định số </w:t>
      </w:r>
      <w:r w:rsidR="00232930" w:rsidRPr="00A75256">
        <w:rPr>
          <w:szCs w:val="28"/>
        </w:rPr>
        <w:t>91</w:t>
      </w:r>
      <w:r w:rsidRPr="00A75256">
        <w:rPr>
          <w:szCs w:val="28"/>
        </w:rPr>
        <w:t>/20</w:t>
      </w:r>
      <w:r w:rsidR="00232930" w:rsidRPr="00A75256">
        <w:rPr>
          <w:szCs w:val="28"/>
        </w:rPr>
        <w:t>19</w:t>
      </w:r>
      <w:r w:rsidRPr="00A75256">
        <w:rPr>
          <w:szCs w:val="28"/>
        </w:rPr>
        <w:t xml:space="preserve">/NĐ-CP </w:t>
      </w:r>
      <w:r w:rsidR="00232930" w:rsidRPr="00A75256">
        <w:rPr>
          <w:szCs w:val="28"/>
        </w:rPr>
        <w:t>ngày 19</w:t>
      </w:r>
      <w:r w:rsidRPr="00A75256">
        <w:rPr>
          <w:szCs w:val="28"/>
        </w:rPr>
        <w:t>/</w:t>
      </w:r>
      <w:r w:rsidR="00232930" w:rsidRPr="00A75256">
        <w:rPr>
          <w:szCs w:val="28"/>
        </w:rPr>
        <w:t>1</w:t>
      </w:r>
      <w:r w:rsidRPr="00A75256">
        <w:rPr>
          <w:szCs w:val="28"/>
        </w:rPr>
        <w:t>1/20</w:t>
      </w:r>
      <w:r w:rsidR="00232930" w:rsidRPr="00A75256">
        <w:rPr>
          <w:szCs w:val="28"/>
        </w:rPr>
        <w:t>19</w:t>
      </w:r>
      <w:r w:rsidRPr="00A75256">
        <w:rPr>
          <w:szCs w:val="28"/>
        </w:rPr>
        <w:t xml:space="preserve"> của Chính phủ quy định xử phạt vi phạm hành chính </w:t>
      </w:r>
      <w:r w:rsidR="00232930" w:rsidRPr="00A75256">
        <w:rPr>
          <w:szCs w:val="28"/>
        </w:rPr>
        <w:t>trong lĩnh vực đất đai</w:t>
      </w:r>
      <w:r w:rsidR="00754A09" w:rsidRPr="00A75256">
        <w:rPr>
          <w:szCs w:val="28"/>
        </w:rPr>
        <w:t>.</w:t>
      </w:r>
      <w:r w:rsidR="00232930" w:rsidRPr="00A75256">
        <w:rPr>
          <w:szCs w:val="28"/>
        </w:rPr>
        <w:t xml:space="preserve"> </w:t>
      </w:r>
      <w:r w:rsidRPr="00A75256">
        <w:rPr>
          <w:szCs w:val="28"/>
        </w:rPr>
        <w:t xml:space="preserve">Ngoài hình thức xử phạt tiền, </w:t>
      </w:r>
      <w:r w:rsidR="00754A09" w:rsidRPr="00A75256">
        <w:rPr>
          <w:szCs w:val="28"/>
        </w:rPr>
        <w:t xml:space="preserve">hành vi vi phạm này còn bị áp dụng biện pháp </w:t>
      </w:r>
      <w:r w:rsidR="00754A09" w:rsidRPr="00A75256">
        <w:rPr>
          <w:szCs w:val="28"/>
        </w:rPr>
        <w:lastRenderedPageBreak/>
        <w:t xml:space="preserve">khắc phục hậu quả quy định tại điểm b khoản 4 Điều 10 Nghị định số 91/2019/NĐ-CP </w:t>
      </w:r>
      <w:r w:rsidR="007B5B83" w:rsidRPr="00A75256">
        <w:rPr>
          <w:szCs w:val="28"/>
        </w:rPr>
        <w:t>(</w:t>
      </w:r>
      <w:r w:rsidR="00754A09" w:rsidRPr="00A75256">
        <w:rPr>
          <w:szCs w:val="28"/>
        </w:rPr>
        <w:t xml:space="preserve">đã được sửa đổi, bổ sung tại khoản 3 Điều 1 Nghị định số 04/2022/NĐ-CP ngày 06/01/2022 của Chính phủ </w:t>
      </w:r>
      <w:bookmarkStart w:id="2" w:name="loai_1_name"/>
      <w:r w:rsidR="00754A09" w:rsidRPr="00A75256">
        <w:rPr>
          <w:szCs w:val="28"/>
          <w:lang w:val="vi-VN"/>
        </w:rPr>
        <w:t>sửa đổi, bổ sung một số điều của các nghị định về xử phạt vi phạm hành chính trong lĩnh vực đất đai; tài nguyên nước và khoáng sản; khí tượng thủy văn; đo đạc và bản đồ</w:t>
      </w:r>
      <w:bookmarkEnd w:id="2"/>
      <w:r w:rsidR="00754A09" w:rsidRPr="00A75256">
        <w:rPr>
          <w:szCs w:val="28"/>
        </w:rPr>
        <w:t>) như sau:</w:t>
      </w:r>
    </w:p>
    <w:p w14:paraId="6E046A3B" w14:textId="77777777" w:rsidR="00754A09" w:rsidRPr="00A75256" w:rsidRDefault="00754A09" w:rsidP="00754A09">
      <w:pPr>
        <w:spacing w:before="60" w:after="60" w:line="264" w:lineRule="auto"/>
        <w:jc w:val="both"/>
        <w:rPr>
          <w:i/>
          <w:szCs w:val="28"/>
        </w:rPr>
      </w:pPr>
      <w:r w:rsidRPr="00A75256">
        <w:rPr>
          <w:i/>
          <w:szCs w:val="28"/>
          <w:lang w:val="vi-VN"/>
        </w:rPr>
        <w:t xml:space="preserve">“b)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w:t>
      </w:r>
      <w:bookmarkStart w:id="3" w:name="dc_5"/>
      <w:r w:rsidRPr="00A75256">
        <w:rPr>
          <w:i/>
          <w:szCs w:val="28"/>
          <w:lang w:val="vi-VN"/>
        </w:rPr>
        <w:t>Điều 22 Nghị định số 43/2014/NĐ-CP</w:t>
      </w:r>
      <w:bookmarkEnd w:id="3"/>
      <w:r w:rsidRPr="00A75256">
        <w:rPr>
          <w:i/>
          <w:szCs w:val="28"/>
          <w:lang w:val="vi-VN"/>
        </w:rPr>
        <w:t>;”.</w:t>
      </w:r>
    </w:p>
    <w:p w14:paraId="422EDEB2" w14:textId="231F7E43" w:rsidR="00754A09" w:rsidRPr="00A75256" w:rsidRDefault="00754A09" w:rsidP="008F1980">
      <w:pPr>
        <w:spacing w:before="60" w:after="60" w:line="264" w:lineRule="auto"/>
        <w:ind w:firstLine="567"/>
        <w:jc w:val="both"/>
        <w:rPr>
          <w:b/>
          <w:szCs w:val="28"/>
        </w:rPr>
      </w:pPr>
      <w:r w:rsidRPr="00A75256">
        <w:rPr>
          <w:b/>
          <w:szCs w:val="28"/>
        </w:rPr>
        <w:t>3. Các nguyên tắc áp dụng pháp luật về xử lý vi phạm hành chính</w:t>
      </w:r>
    </w:p>
    <w:p w14:paraId="4680E53E" w14:textId="03D76630" w:rsidR="00675AC0" w:rsidRPr="00675AC0" w:rsidRDefault="00C32C02" w:rsidP="008F1980">
      <w:pPr>
        <w:spacing w:before="60" w:after="60" w:line="264" w:lineRule="auto"/>
        <w:ind w:firstLine="567"/>
        <w:jc w:val="both"/>
        <w:rPr>
          <w:b/>
          <w:szCs w:val="28"/>
        </w:rPr>
      </w:pPr>
      <w:r>
        <w:rPr>
          <w:b/>
          <w:szCs w:val="28"/>
        </w:rPr>
        <w:t>3.1</w:t>
      </w:r>
      <w:r w:rsidR="008F1980" w:rsidRPr="00675AC0">
        <w:rPr>
          <w:b/>
          <w:szCs w:val="28"/>
        </w:rPr>
        <w:t xml:space="preserve"> </w:t>
      </w:r>
      <w:r w:rsidR="00675AC0" w:rsidRPr="00675AC0">
        <w:rPr>
          <w:b/>
          <w:szCs w:val="28"/>
        </w:rPr>
        <w:t>Về những hành vi bị nghiêm cấ</w:t>
      </w:r>
      <w:r>
        <w:rPr>
          <w:b/>
          <w:szCs w:val="28"/>
        </w:rPr>
        <w:t>m</w:t>
      </w:r>
      <w:r w:rsidR="00675AC0" w:rsidRPr="00675AC0">
        <w:rPr>
          <w:b/>
          <w:szCs w:val="28"/>
        </w:rPr>
        <w:t xml:space="preserve"> trong xử lý vi phạm hành chính</w:t>
      </w:r>
    </w:p>
    <w:p w14:paraId="6D0627D5" w14:textId="32C4E48E" w:rsidR="00754A09" w:rsidRPr="00A75256" w:rsidRDefault="007B5B83" w:rsidP="008F1980">
      <w:pPr>
        <w:spacing w:before="60" w:after="60" w:line="264" w:lineRule="auto"/>
        <w:ind w:firstLine="567"/>
        <w:jc w:val="both"/>
        <w:rPr>
          <w:szCs w:val="28"/>
        </w:rPr>
      </w:pPr>
      <w:r w:rsidRPr="00A75256">
        <w:rPr>
          <w:szCs w:val="28"/>
        </w:rPr>
        <w:t>Điều 12 Luật xử lý vi phạm hành chính quy định những hành vi bị nghiêm cấm như sau:</w:t>
      </w:r>
    </w:p>
    <w:p w14:paraId="634C668C" w14:textId="76ECE9C0" w:rsidR="007B5B83" w:rsidRPr="00A75256" w:rsidRDefault="008F1980" w:rsidP="007B5B83">
      <w:pPr>
        <w:spacing w:before="120" w:after="120" w:line="320" w:lineRule="exact"/>
        <w:ind w:firstLine="567"/>
        <w:jc w:val="both"/>
        <w:rPr>
          <w:szCs w:val="28"/>
        </w:rPr>
      </w:pPr>
      <w:r w:rsidRPr="00A75256">
        <w:rPr>
          <w:szCs w:val="28"/>
        </w:rPr>
        <w:t>+</w:t>
      </w:r>
      <w:r w:rsidR="007B5B83" w:rsidRPr="00A75256">
        <w:rPr>
          <w:szCs w:val="28"/>
        </w:rPr>
        <w:t xml:space="preserve"> Khoản 3: “</w:t>
      </w:r>
      <w:r w:rsidR="007B5B83" w:rsidRPr="00A75256">
        <w:rPr>
          <w:i/>
          <w:szCs w:val="28"/>
        </w:rPr>
        <w:t xml:space="preserve">3. Ban hành trái thẩm quyền văn bản quy định về hành vi vi phạm hành chính, thẩm quyền, hình thức xử phạt, </w:t>
      </w:r>
      <w:r w:rsidR="007B5B83" w:rsidRPr="00A75256">
        <w:rPr>
          <w:b/>
          <w:i/>
          <w:szCs w:val="28"/>
        </w:rPr>
        <w:t>biện pháp khắc phục hậu quả</w:t>
      </w:r>
      <w:r w:rsidR="007B5B83" w:rsidRPr="00A75256">
        <w:rPr>
          <w:i/>
          <w:szCs w:val="28"/>
        </w:rPr>
        <w:t xml:space="preserve"> đối với từng hành vi vi phạm hành chính trong lĩnh vực quản lý nhà nước và biện pháp xử lý hành chính.”</w:t>
      </w:r>
    </w:p>
    <w:p w14:paraId="6CE6AE20" w14:textId="2308E226" w:rsidR="007B5B83" w:rsidRPr="00A75256" w:rsidRDefault="008F1980" w:rsidP="008F1980">
      <w:pPr>
        <w:spacing w:before="60" w:after="60" w:line="264" w:lineRule="auto"/>
        <w:ind w:firstLine="567"/>
        <w:jc w:val="both"/>
        <w:rPr>
          <w:szCs w:val="28"/>
        </w:rPr>
      </w:pPr>
      <w:r w:rsidRPr="00A75256">
        <w:rPr>
          <w:szCs w:val="28"/>
        </w:rPr>
        <w:t>+</w:t>
      </w:r>
      <w:r w:rsidR="007B5B83" w:rsidRPr="00A75256">
        <w:rPr>
          <w:szCs w:val="28"/>
        </w:rPr>
        <w:t xml:space="preserve"> Khoản 6 (đã được sửa đổi, bổ sung tại khoản 5 Điều 1 Luật sửa đổi, bổ sung một số điều của Luật Xử lý vi phạm hành chính</w:t>
      </w:r>
      <w:r w:rsidR="00675AC0">
        <w:rPr>
          <w:szCs w:val="28"/>
        </w:rPr>
        <w:t xml:space="preserve"> 2020</w:t>
      </w:r>
      <w:r w:rsidR="007B5B83" w:rsidRPr="00A75256">
        <w:rPr>
          <w:szCs w:val="28"/>
        </w:rPr>
        <w:t xml:space="preserve">): </w:t>
      </w:r>
      <w:r w:rsidR="007B5B83" w:rsidRPr="00A75256">
        <w:rPr>
          <w:szCs w:val="28"/>
          <w:lang w:val="vi-VN"/>
        </w:rPr>
        <w:t>“</w:t>
      </w:r>
      <w:r w:rsidR="007B5B83" w:rsidRPr="00A75256">
        <w:rPr>
          <w:i/>
          <w:szCs w:val="28"/>
          <w:lang w:val="vi-VN"/>
        </w:rPr>
        <w:t xml:space="preserve">6. Xác định hành vi vi phạm hành chính không đúng; áp dụng hình thức xử phạt, mức xử phạt, </w:t>
      </w:r>
      <w:r w:rsidR="007B5B83" w:rsidRPr="00A75256">
        <w:rPr>
          <w:b/>
          <w:i/>
          <w:szCs w:val="28"/>
          <w:lang w:val="vi-VN"/>
        </w:rPr>
        <w:t xml:space="preserve">biện pháp khắc phục hậu quả không đúng, không đầy đủ </w:t>
      </w:r>
      <w:r w:rsidR="007B5B83" w:rsidRPr="00A75256">
        <w:rPr>
          <w:i/>
          <w:szCs w:val="28"/>
          <w:lang w:val="vi-VN"/>
        </w:rPr>
        <w:t>đối với hành vi vi phạm hành chính</w:t>
      </w:r>
      <w:r w:rsidR="007B5B83" w:rsidRPr="00A75256">
        <w:rPr>
          <w:szCs w:val="28"/>
          <w:lang w:val="vi-VN"/>
        </w:rPr>
        <w:t>.”;</w:t>
      </w:r>
    </w:p>
    <w:p w14:paraId="5CAA1605" w14:textId="6297F6FB" w:rsidR="00675AC0" w:rsidRPr="00675AC0" w:rsidRDefault="00C32C02" w:rsidP="007B5B83">
      <w:pPr>
        <w:spacing w:before="120" w:after="120" w:line="320" w:lineRule="exact"/>
        <w:ind w:firstLine="567"/>
        <w:jc w:val="both"/>
        <w:rPr>
          <w:b/>
          <w:szCs w:val="28"/>
        </w:rPr>
      </w:pPr>
      <w:r>
        <w:rPr>
          <w:b/>
          <w:szCs w:val="28"/>
        </w:rPr>
        <w:t>3.2</w:t>
      </w:r>
      <w:r w:rsidR="008F1980" w:rsidRPr="00675AC0">
        <w:rPr>
          <w:b/>
          <w:szCs w:val="28"/>
        </w:rPr>
        <w:t xml:space="preserve"> </w:t>
      </w:r>
      <w:r w:rsidR="00675AC0" w:rsidRPr="00675AC0">
        <w:rPr>
          <w:b/>
          <w:szCs w:val="28"/>
        </w:rPr>
        <w:t>Về việc áp dụng biện pháp khắc phục hậu quả trong xử lý vi phạm hành chính</w:t>
      </w:r>
    </w:p>
    <w:p w14:paraId="601F6F07" w14:textId="6211B719" w:rsidR="008F1980" w:rsidRPr="00A75256" w:rsidRDefault="008F1980" w:rsidP="007B5B83">
      <w:pPr>
        <w:spacing w:before="120" w:after="120" w:line="320" w:lineRule="exact"/>
        <w:ind w:firstLine="567"/>
        <w:jc w:val="both"/>
        <w:rPr>
          <w:szCs w:val="28"/>
        </w:rPr>
      </w:pPr>
      <w:r w:rsidRPr="00A75256">
        <w:rPr>
          <w:szCs w:val="28"/>
        </w:rPr>
        <w:t xml:space="preserve">Khoản 2 Điều 8 Nghị định số 118/2021/NĐ-CP ngày 23/12/2021 của Chính phủ quy định chi tiết một số điều và biện pháp thi hành Luật Xử lý vi phạm hành chính quy định: </w:t>
      </w:r>
    </w:p>
    <w:p w14:paraId="6029B5CF" w14:textId="5A46906C" w:rsidR="007B5B83" w:rsidRPr="00A75256" w:rsidRDefault="008F1980" w:rsidP="007B5B83">
      <w:pPr>
        <w:spacing w:before="120" w:after="120" w:line="320" w:lineRule="exact"/>
        <w:ind w:firstLine="567"/>
        <w:jc w:val="both"/>
        <w:rPr>
          <w:i/>
          <w:szCs w:val="28"/>
        </w:rPr>
      </w:pPr>
      <w:r w:rsidRPr="00A75256">
        <w:rPr>
          <w:i/>
          <w:szCs w:val="28"/>
        </w:rPr>
        <w:t>“</w:t>
      </w:r>
      <w:r w:rsidRPr="00A75256">
        <w:rPr>
          <w:i/>
          <w:color w:val="000000"/>
          <w:szCs w:val="28"/>
          <w:lang w:val="vi-VN" w:eastAsia="vi-VN" w:bidi="vi-VN"/>
        </w:rPr>
        <w:t xml:space="preserve">2. Các hình thức xử phạt vi phạm hành chính và </w:t>
      </w:r>
      <w:r w:rsidRPr="00A75256">
        <w:rPr>
          <w:b/>
          <w:i/>
          <w:color w:val="000000"/>
          <w:szCs w:val="28"/>
          <w:lang w:val="vi-VN" w:eastAsia="vi-VN" w:bidi="vi-VN"/>
        </w:rPr>
        <w:t>biện pháp khắc phục hậu quả chỉ được áp dụng khi nghị định quy định về xử phạt vi phạm hành chính trong các lĩnh vực quản lý nhà nước có quy định</w:t>
      </w:r>
      <w:r w:rsidRPr="00A75256">
        <w:rPr>
          <w:i/>
          <w:color w:val="000000"/>
          <w:szCs w:val="28"/>
          <w:lang w:val="vi-VN" w:eastAsia="vi-VN" w:bidi="vi-VN"/>
        </w:rPr>
        <w:t xml:space="preserve"> các hình thức xử phạt, biện pháp khắc phục hậu quả này đối với hành vi vi phạm hành chính cụ thể</w:t>
      </w:r>
      <w:r w:rsidRPr="00A75256">
        <w:rPr>
          <w:i/>
          <w:color w:val="000000"/>
          <w:szCs w:val="28"/>
          <w:lang w:eastAsia="vi-VN" w:bidi="vi-VN"/>
        </w:rPr>
        <w:t>,…”</w:t>
      </w:r>
    </w:p>
    <w:p w14:paraId="3D9E6139" w14:textId="03AC9FEB" w:rsidR="00675AC0" w:rsidRPr="00675AC0" w:rsidRDefault="00C32C02" w:rsidP="00D17B4B">
      <w:pPr>
        <w:spacing w:before="60" w:after="60" w:line="264" w:lineRule="auto"/>
        <w:ind w:firstLine="567"/>
        <w:jc w:val="both"/>
        <w:rPr>
          <w:b/>
          <w:szCs w:val="28"/>
        </w:rPr>
      </w:pPr>
      <w:r>
        <w:rPr>
          <w:b/>
          <w:szCs w:val="28"/>
        </w:rPr>
        <w:t>3.3</w:t>
      </w:r>
      <w:r w:rsidR="00675AC0" w:rsidRPr="00675AC0">
        <w:rPr>
          <w:b/>
          <w:szCs w:val="28"/>
        </w:rPr>
        <w:t xml:space="preserve"> Về cưỡng chế trong xử lý vi phạm hành chính</w:t>
      </w:r>
    </w:p>
    <w:p w14:paraId="3346511D" w14:textId="340B7C04" w:rsidR="00675AC0" w:rsidRDefault="00675AC0" w:rsidP="00D17B4B">
      <w:pPr>
        <w:spacing w:before="60" w:after="60" w:line="264" w:lineRule="auto"/>
        <w:ind w:firstLine="567"/>
        <w:jc w:val="both"/>
        <w:rPr>
          <w:szCs w:val="28"/>
        </w:rPr>
      </w:pPr>
      <w:r>
        <w:rPr>
          <w:szCs w:val="28"/>
        </w:rPr>
        <w:t xml:space="preserve">- Khoản 1 Điều 86 Luật Xử lý vi phạm hành chính (sửa đổi, bổ sung tại khoản 43 Điều 1 </w:t>
      </w:r>
      <w:r w:rsidRPr="00A75256">
        <w:rPr>
          <w:szCs w:val="28"/>
        </w:rPr>
        <w:t>Luật sửa đổi, bổ sung một số điều của Luật Xử lý vi phạm hành chính</w:t>
      </w:r>
      <w:r>
        <w:rPr>
          <w:szCs w:val="28"/>
        </w:rPr>
        <w:t xml:space="preserve"> 2020</w:t>
      </w:r>
      <w:r w:rsidRPr="00A75256">
        <w:rPr>
          <w:szCs w:val="28"/>
        </w:rPr>
        <w:t>)</w:t>
      </w:r>
      <w:r>
        <w:rPr>
          <w:szCs w:val="28"/>
        </w:rPr>
        <w:t xml:space="preserve"> quy định:</w:t>
      </w:r>
    </w:p>
    <w:p w14:paraId="589899F2" w14:textId="61BD05AA" w:rsidR="00675AC0" w:rsidRPr="00675AC0" w:rsidRDefault="00675AC0" w:rsidP="00675AC0">
      <w:pPr>
        <w:spacing w:before="60" w:after="60" w:line="264" w:lineRule="auto"/>
        <w:jc w:val="both"/>
        <w:rPr>
          <w:i/>
          <w:szCs w:val="28"/>
        </w:rPr>
      </w:pPr>
      <w:r w:rsidRPr="00675AC0">
        <w:rPr>
          <w:i/>
          <w:szCs w:val="28"/>
          <w:lang w:val="vi-VN"/>
        </w:rPr>
        <w:t xml:space="preserve">“1. Cưỡng chế thi hành quyết định xử phạt được áp dụng trong các trường hợp sau đây:a) Cá nhân, tổ chức bị xử phạt vi phạm hành chính </w:t>
      </w:r>
      <w:r w:rsidRPr="00C94658">
        <w:rPr>
          <w:b/>
          <w:i/>
          <w:szCs w:val="28"/>
          <w:lang w:val="vi-VN"/>
        </w:rPr>
        <w:t>không tự nguyện</w:t>
      </w:r>
      <w:r w:rsidRPr="00675AC0">
        <w:rPr>
          <w:i/>
          <w:szCs w:val="28"/>
          <w:lang w:val="vi-VN"/>
        </w:rPr>
        <w:t xml:space="preserve"> chấp hành quyết định xử phạ</w:t>
      </w:r>
      <w:r>
        <w:rPr>
          <w:i/>
          <w:szCs w:val="28"/>
          <w:lang w:val="vi-VN"/>
        </w:rPr>
        <w:t>t...</w:t>
      </w:r>
      <w:r w:rsidRPr="00675AC0">
        <w:rPr>
          <w:i/>
          <w:szCs w:val="28"/>
          <w:lang w:val="vi-VN"/>
        </w:rPr>
        <w:t>;</w:t>
      </w:r>
      <w:r>
        <w:rPr>
          <w:i/>
          <w:szCs w:val="28"/>
        </w:rPr>
        <w:t>”</w:t>
      </w:r>
    </w:p>
    <w:p w14:paraId="742A1AC0" w14:textId="360474EA" w:rsidR="00675AC0" w:rsidRDefault="004D1546" w:rsidP="00D17B4B">
      <w:pPr>
        <w:spacing w:before="60" w:after="60" w:line="264" w:lineRule="auto"/>
        <w:ind w:firstLine="567"/>
        <w:jc w:val="both"/>
        <w:rPr>
          <w:szCs w:val="28"/>
        </w:rPr>
      </w:pPr>
      <w:r w:rsidRPr="00A75256">
        <w:rPr>
          <w:szCs w:val="28"/>
        </w:rPr>
        <w:lastRenderedPageBreak/>
        <w:tab/>
      </w:r>
      <w:r w:rsidR="00675AC0">
        <w:rPr>
          <w:szCs w:val="28"/>
        </w:rPr>
        <w:t>- Khoản 1 Điều 3 Nghị định số 166/2013/NĐ-CP ngày 12/11/2013 của Chính phủ quy định về cưỡng chế thi hành quyết định xử phạt vi phạm hành chính:</w:t>
      </w:r>
    </w:p>
    <w:p w14:paraId="64060747" w14:textId="5F4E688C" w:rsidR="00675AC0" w:rsidRPr="00675AC0" w:rsidRDefault="00675AC0" w:rsidP="00D17B4B">
      <w:pPr>
        <w:spacing w:before="60" w:after="60" w:line="264" w:lineRule="auto"/>
        <w:ind w:firstLine="567"/>
        <w:jc w:val="both"/>
        <w:rPr>
          <w:i/>
          <w:szCs w:val="28"/>
        </w:rPr>
      </w:pPr>
      <w:r w:rsidRPr="00675AC0">
        <w:rPr>
          <w:i/>
          <w:szCs w:val="28"/>
        </w:rPr>
        <w:t xml:space="preserve">“1. Việc cưỡng chế </w:t>
      </w:r>
      <w:r w:rsidRPr="00C94658">
        <w:rPr>
          <w:b/>
          <w:i/>
          <w:szCs w:val="28"/>
        </w:rPr>
        <w:t>chỉ được thực hiện khi có quyết định cưỡng chế bằng văn bản của người có thẩm quyền</w:t>
      </w:r>
      <w:r w:rsidRPr="00675AC0">
        <w:rPr>
          <w:i/>
          <w:szCs w:val="28"/>
        </w:rPr>
        <w:t>”</w:t>
      </w:r>
    </w:p>
    <w:p w14:paraId="0E8B4C48" w14:textId="0F2C94D2" w:rsidR="00347303" w:rsidRPr="00A75256" w:rsidRDefault="00757B5E" w:rsidP="00D17B4B">
      <w:pPr>
        <w:spacing w:before="60" w:after="60" w:line="264" w:lineRule="auto"/>
        <w:ind w:firstLine="567"/>
        <w:jc w:val="both"/>
        <w:rPr>
          <w:szCs w:val="28"/>
        </w:rPr>
      </w:pPr>
      <w:r w:rsidRPr="00A75256">
        <w:rPr>
          <w:szCs w:val="28"/>
        </w:rPr>
        <w:t xml:space="preserve">Qua nội dung các đơn kiến nghị </w:t>
      </w:r>
      <w:r w:rsidR="00D17B4B" w:rsidRPr="00A75256">
        <w:rPr>
          <w:szCs w:val="28"/>
        </w:rPr>
        <w:t xml:space="preserve">ngày 24/01/2024 và ngày 29/01/2024 của Công ty Cổ phần Hoàng Gia ĐL và các tài liệu kèm theo Văn bản số 307/SXD-TTr của Sở Xây dựng, Sở Tư pháp có một số ý kiến liên quan đến việc áp dụng pháp luật về xử lý vi phạm hành chính </w:t>
      </w:r>
      <w:r w:rsidR="00C94658">
        <w:rPr>
          <w:szCs w:val="28"/>
        </w:rPr>
        <w:t xml:space="preserve">như trên </w:t>
      </w:r>
      <w:r w:rsidR="00D17B4B" w:rsidRPr="00A75256">
        <w:rPr>
          <w:szCs w:val="28"/>
        </w:rPr>
        <w:t>gửi Sở Xây dựng nghiên cứu, tổng hợp chung. Đối với việc rà soát, xem xét xác định các hành vi vi phạm hành chính và xử lý vi phạm hành chính, đề nghị Sở Xây dựng và các sở ngành có liên quan căn cứ các quy định của pháp luật chuyên ngành và pháp luật về xử lý vi phạm hành chính để áp dụng thực hiện./.</w:t>
      </w:r>
    </w:p>
    <w:tbl>
      <w:tblPr>
        <w:tblW w:w="9464" w:type="dxa"/>
        <w:tblLook w:val="04A0" w:firstRow="1" w:lastRow="0" w:firstColumn="1" w:lastColumn="0" w:noHBand="0" w:noVBand="1"/>
      </w:tblPr>
      <w:tblGrid>
        <w:gridCol w:w="4786"/>
        <w:gridCol w:w="4678"/>
      </w:tblGrid>
      <w:tr w:rsidR="003746DA" w:rsidRPr="00B77D9C" w14:paraId="1B8F692B" w14:textId="77777777" w:rsidTr="00CE0346">
        <w:trPr>
          <w:trHeight w:val="1913"/>
        </w:trPr>
        <w:tc>
          <w:tcPr>
            <w:tcW w:w="4786" w:type="dxa"/>
          </w:tcPr>
          <w:p w14:paraId="5532FB88" w14:textId="77777777" w:rsidR="003746DA" w:rsidRPr="00B77D9C" w:rsidRDefault="003746DA" w:rsidP="001F50C9">
            <w:pPr>
              <w:spacing w:after="0" w:line="264" w:lineRule="auto"/>
              <w:jc w:val="both"/>
              <w:rPr>
                <w:b/>
                <w:i/>
                <w:sz w:val="24"/>
                <w:szCs w:val="24"/>
              </w:rPr>
            </w:pPr>
            <w:r w:rsidRPr="00B77D9C">
              <w:rPr>
                <w:b/>
                <w:i/>
                <w:sz w:val="24"/>
                <w:szCs w:val="24"/>
              </w:rPr>
              <w:t>Nơi nhận:</w:t>
            </w:r>
          </w:p>
          <w:p w14:paraId="1FE86D2B" w14:textId="733BA785" w:rsidR="003746DA" w:rsidRDefault="003746DA" w:rsidP="001F50C9">
            <w:pPr>
              <w:spacing w:after="0" w:line="260" w:lineRule="exact"/>
              <w:jc w:val="both"/>
              <w:rPr>
                <w:rFonts w:eastAsia="Times New Roman"/>
                <w:sz w:val="22"/>
              </w:rPr>
            </w:pPr>
            <w:r w:rsidRPr="00B77D9C">
              <w:rPr>
                <w:sz w:val="22"/>
              </w:rPr>
              <w:t xml:space="preserve">- </w:t>
            </w:r>
            <w:r w:rsidRPr="00B77D9C">
              <w:rPr>
                <w:rFonts w:eastAsia="Times New Roman"/>
                <w:sz w:val="22"/>
              </w:rPr>
              <w:t>Như trên;</w:t>
            </w:r>
          </w:p>
          <w:p w14:paraId="32B0DF84" w14:textId="77777777" w:rsidR="003746DA" w:rsidRDefault="003746DA" w:rsidP="001F50C9">
            <w:pPr>
              <w:spacing w:after="0" w:line="260" w:lineRule="exact"/>
              <w:jc w:val="both"/>
              <w:rPr>
                <w:rFonts w:eastAsia="Times New Roman"/>
                <w:sz w:val="22"/>
              </w:rPr>
            </w:pPr>
            <w:r w:rsidRPr="00B77D9C">
              <w:rPr>
                <w:rFonts w:eastAsia="Times New Roman"/>
                <w:sz w:val="22"/>
              </w:rPr>
              <w:t xml:space="preserve">- </w:t>
            </w:r>
            <w:r w:rsidR="004B1070">
              <w:rPr>
                <w:rFonts w:eastAsia="Times New Roman"/>
                <w:sz w:val="22"/>
              </w:rPr>
              <w:t>Giám đốc</w:t>
            </w:r>
            <w:r w:rsidRPr="00B77D9C">
              <w:rPr>
                <w:rFonts w:eastAsia="Times New Roman"/>
                <w:sz w:val="22"/>
              </w:rPr>
              <w:t>;</w:t>
            </w:r>
          </w:p>
          <w:p w14:paraId="467B9D13" w14:textId="6CFF4171" w:rsidR="004B1070" w:rsidRDefault="004B1070" w:rsidP="001F50C9">
            <w:pPr>
              <w:spacing w:after="0" w:line="260" w:lineRule="exact"/>
              <w:jc w:val="both"/>
              <w:rPr>
                <w:rFonts w:eastAsia="Times New Roman"/>
                <w:sz w:val="22"/>
              </w:rPr>
            </w:pPr>
            <w:r>
              <w:rPr>
                <w:rFonts w:eastAsia="Times New Roman"/>
                <w:sz w:val="22"/>
              </w:rPr>
              <w:t>- P</w:t>
            </w:r>
            <w:r w:rsidR="00CE0346">
              <w:rPr>
                <w:rFonts w:eastAsia="Times New Roman"/>
                <w:sz w:val="22"/>
              </w:rPr>
              <w:t>G</w:t>
            </w:r>
            <w:r w:rsidR="00D17B4B">
              <w:rPr>
                <w:rFonts w:eastAsia="Times New Roman"/>
                <w:sz w:val="22"/>
              </w:rPr>
              <w:t>Đ Vũ Văn Thúc;</w:t>
            </w:r>
          </w:p>
          <w:p w14:paraId="0F45BEBE" w14:textId="3035C9D7" w:rsidR="003746DA" w:rsidRPr="000E2425" w:rsidRDefault="003746DA" w:rsidP="00A16AC2">
            <w:pPr>
              <w:spacing w:after="0" w:line="240" w:lineRule="auto"/>
              <w:jc w:val="both"/>
              <w:rPr>
                <w:rFonts w:eastAsia="Times New Roman"/>
                <w:sz w:val="22"/>
              </w:rPr>
            </w:pPr>
            <w:r>
              <w:rPr>
                <w:rFonts w:eastAsia="Times New Roman"/>
                <w:sz w:val="22"/>
              </w:rPr>
              <w:t xml:space="preserve">- </w:t>
            </w:r>
            <w:r w:rsidRPr="00B77D9C">
              <w:rPr>
                <w:rFonts w:eastAsia="Times New Roman"/>
                <w:sz w:val="22"/>
              </w:rPr>
              <w:t>Lưu</w:t>
            </w:r>
            <w:r w:rsidR="007B60F8">
              <w:rPr>
                <w:rFonts w:eastAsia="Times New Roman"/>
                <w:sz w:val="22"/>
              </w:rPr>
              <w:t>:</w:t>
            </w:r>
            <w:r w:rsidRPr="00B77D9C">
              <w:rPr>
                <w:rFonts w:eastAsia="Times New Roman"/>
                <w:sz w:val="22"/>
              </w:rPr>
              <w:t xml:space="preserve"> </w:t>
            </w:r>
            <w:r>
              <w:rPr>
                <w:rFonts w:eastAsia="Times New Roman"/>
                <w:sz w:val="22"/>
              </w:rPr>
              <w:t>V</w:t>
            </w:r>
            <w:r w:rsidRPr="00B77D9C">
              <w:rPr>
                <w:rFonts w:eastAsia="Times New Roman"/>
                <w:sz w:val="22"/>
              </w:rPr>
              <w:t>T</w:t>
            </w:r>
            <w:r w:rsidR="00A16AC2">
              <w:rPr>
                <w:rFonts w:eastAsia="Times New Roman"/>
                <w:sz w:val="22"/>
              </w:rPr>
              <w:t xml:space="preserve">, </w:t>
            </w:r>
            <w:r w:rsidR="00D03778">
              <w:rPr>
                <w:rFonts w:eastAsia="Times New Roman"/>
                <w:sz w:val="22"/>
              </w:rPr>
              <w:t>TTr</w:t>
            </w:r>
            <w:r>
              <w:rPr>
                <w:rFonts w:eastAsia="Times New Roman"/>
                <w:sz w:val="22"/>
              </w:rPr>
              <w:t>.</w:t>
            </w:r>
          </w:p>
        </w:tc>
        <w:tc>
          <w:tcPr>
            <w:tcW w:w="4678" w:type="dxa"/>
          </w:tcPr>
          <w:p w14:paraId="01B33487" w14:textId="77777777" w:rsidR="003746DA" w:rsidRPr="00B77D9C" w:rsidRDefault="003746DA" w:rsidP="001F50C9">
            <w:pPr>
              <w:spacing w:after="0" w:line="240" w:lineRule="auto"/>
              <w:jc w:val="center"/>
              <w:rPr>
                <w:b/>
              </w:rPr>
            </w:pPr>
            <w:r>
              <w:rPr>
                <w:b/>
              </w:rPr>
              <w:t xml:space="preserve">KT. </w:t>
            </w:r>
            <w:r w:rsidRPr="00B77D9C">
              <w:rPr>
                <w:b/>
              </w:rPr>
              <w:t>GIÁM ĐỐC</w:t>
            </w:r>
          </w:p>
          <w:p w14:paraId="52F2C6AE" w14:textId="77777777" w:rsidR="003746DA" w:rsidRDefault="003746DA" w:rsidP="001F50C9">
            <w:pPr>
              <w:spacing w:after="0" w:line="288" w:lineRule="auto"/>
              <w:jc w:val="center"/>
              <w:rPr>
                <w:b/>
              </w:rPr>
            </w:pPr>
            <w:r>
              <w:rPr>
                <w:b/>
              </w:rPr>
              <w:t>PHÓ GIÁM ĐỐC</w:t>
            </w:r>
            <w:r w:rsidR="00010FCE">
              <w:rPr>
                <w:b/>
              </w:rPr>
              <w:t xml:space="preserve"> </w:t>
            </w:r>
          </w:p>
          <w:p w14:paraId="46BCDE6D" w14:textId="77777777" w:rsidR="00C7620A" w:rsidRDefault="00C7620A" w:rsidP="001F50C9">
            <w:pPr>
              <w:spacing w:after="0" w:line="264" w:lineRule="auto"/>
              <w:rPr>
                <w:b/>
              </w:rPr>
            </w:pPr>
          </w:p>
          <w:p w14:paraId="56ADC494" w14:textId="77777777" w:rsidR="00BC3ECD" w:rsidRDefault="00BC3ECD" w:rsidP="001F50C9">
            <w:pPr>
              <w:spacing w:after="0" w:line="264" w:lineRule="auto"/>
              <w:rPr>
                <w:b/>
              </w:rPr>
            </w:pPr>
          </w:p>
          <w:p w14:paraId="635B3875" w14:textId="1FA33D61" w:rsidR="00BC3ECD" w:rsidRDefault="00BC3ECD" w:rsidP="001F50C9">
            <w:pPr>
              <w:spacing w:after="0" w:line="264" w:lineRule="auto"/>
              <w:rPr>
                <w:b/>
              </w:rPr>
            </w:pPr>
          </w:p>
          <w:p w14:paraId="54767958" w14:textId="77777777" w:rsidR="00252827" w:rsidRDefault="00252827" w:rsidP="001F50C9">
            <w:pPr>
              <w:spacing w:after="0" w:line="264" w:lineRule="auto"/>
              <w:rPr>
                <w:b/>
              </w:rPr>
            </w:pPr>
          </w:p>
          <w:p w14:paraId="0D1ABB13" w14:textId="77777777" w:rsidR="001F50C9" w:rsidRDefault="001F50C9" w:rsidP="001F50C9">
            <w:pPr>
              <w:spacing w:after="0" w:line="264" w:lineRule="auto"/>
              <w:rPr>
                <w:b/>
              </w:rPr>
            </w:pPr>
          </w:p>
          <w:p w14:paraId="3D91C06A" w14:textId="5CAB6770" w:rsidR="00C7620A" w:rsidRPr="00B77D9C" w:rsidRDefault="00D17B4B" w:rsidP="001F50C9">
            <w:pPr>
              <w:spacing w:after="0" w:line="264" w:lineRule="auto"/>
              <w:jc w:val="center"/>
            </w:pPr>
            <w:r>
              <w:rPr>
                <w:b/>
              </w:rPr>
              <w:t>Vũ Văn Thúc</w:t>
            </w:r>
          </w:p>
        </w:tc>
      </w:tr>
    </w:tbl>
    <w:p w14:paraId="67C2551C" w14:textId="77777777" w:rsidR="008961BB" w:rsidRDefault="008961BB" w:rsidP="00012FD9"/>
    <w:sectPr w:rsidR="008961BB" w:rsidSect="00744360">
      <w:headerReference w:type="default" r:id="rId8"/>
      <w:footerReference w:type="default" r:id="rId9"/>
      <w:headerReference w:type="first" r:id="rId10"/>
      <w:pgSz w:w="11907" w:h="16840" w:code="9"/>
      <w:pgMar w:top="964" w:right="851"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6B53" w14:textId="77777777" w:rsidR="00A23B10" w:rsidRDefault="00A23B10" w:rsidP="00C7620A">
      <w:pPr>
        <w:spacing w:after="0" w:line="240" w:lineRule="auto"/>
      </w:pPr>
      <w:r>
        <w:separator/>
      </w:r>
    </w:p>
  </w:endnote>
  <w:endnote w:type="continuationSeparator" w:id="0">
    <w:p w14:paraId="1E77D6A3" w14:textId="77777777" w:rsidR="00A23B10" w:rsidRDefault="00A23B10" w:rsidP="00C7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1041" w14:textId="77777777" w:rsidR="00C7620A" w:rsidRDefault="00C7620A">
    <w:pPr>
      <w:pStyle w:val="Footer"/>
      <w:jc w:val="center"/>
    </w:pPr>
  </w:p>
  <w:p w14:paraId="037D90D1" w14:textId="77777777" w:rsidR="00C7620A" w:rsidRDefault="00C76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75EE" w14:textId="77777777" w:rsidR="00A23B10" w:rsidRDefault="00A23B10" w:rsidP="00C7620A">
      <w:pPr>
        <w:spacing w:after="0" w:line="240" w:lineRule="auto"/>
      </w:pPr>
      <w:r>
        <w:separator/>
      </w:r>
    </w:p>
  </w:footnote>
  <w:footnote w:type="continuationSeparator" w:id="0">
    <w:p w14:paraId="6FAD200F" w14:textId="77777777" w:rsidR="00A23B10" w:rsidRDefault="00A23B10" w:rsidP="00C7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864266"/>
      <w:docPartObj>
        <w:docPartGallery w:val="Page Numbers (Top of Page)"/>
        <w:docPartUnique/>
      </w:docPartObj>
    </w:sdtPr>
    <w:sdtEndPr>
      <w:rPr>
        <w:noProof/>
      </w:rPr>
    </w:sdtEndPr>
    <w:sdtContent>
      <w:p w14:paraId="4269B717" w14:textId="6F00E445" w:rsidR="00757B5E" w:rsidRDefault="00757B5E">
        <w:pPr>
          <w:pStyle w:val="Header"/>
          <w:jc w:val="center"/>
        </w:pPr>
        <w:r>
          <w:fldChar w:fldCharType="begin"/>
        </w:r>
        <w:r>
          <w:instrText xml:space="preserve"> PAGE   \* MERGEFORMAT </w:instrText>
        </w:r>
        <w:r>
          <w:fldChar w:fldCharType="separate"/>
        </w:r>
        <w:r w:rsidR="006A4FE6">
          <w:rPr>
            <w:noProof/>
          </w:rPr>
          <w:t>4</w:t>
        </w:r>
        <w:r>
          <w:rPr>
            <w:noProof/>
          </w:rPr>
          <w:fldChar w:fldCharType="end"/>
        </w:r>
      </w:p>
    </w:sdtContent>
  </w:sdt>
  <w:p w14:paraId="677E1775" w14:textId="77777777" w:rsidR="00012FD9" w:rsidRDefault="00012F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9E78" w14:textId="77777777" w:rsidR="00460CD0" w:rsidRDefault="00460CD0">
    <w:pPr>
      <w:pStyle w:val="Header"/>
      <w:jc w:val="center"/>
    </w:pPr>
  </w:p>
  <w:p w14:paraId="1FE23AB0" w14:textId="77777777" w:rsidR="00460CD0" w:rsidRDefault="00460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21EB"/>
    <w:multiLevelType w:val="hybridMultilevel"/>
    <w:tmpl w:val="AD2E6A0E"/>
    <w:lvl w:ilvl="0" w:tplc="1656505A">
      <w:start w:val="1"/>
      <w:numFmt w:val="lowerLetter"/>
      <w:lvlText w:val="%1)"/>
      <w:lvlJc w:val="left"/>
      <w:pPr>
        <w:ind w:left="435" w:hanging="360"/>
      </w:pPr>
      <w:rPr>
        <w:rFonts w:hint="default"/>
        <w:b/>
        <w:bCs/>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65E6674D"/>
    <w:multiLevelType w:val="hybridMultilevel"/>
    <w:tmpl w:val="E71A55CA"/>
    <w:lvl w:ilvl="0" w:tplc="8A0C898A">
      <w:start w:val="7"/>
      <w:numFmt w:val="low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A"/>
    <w:rsid w:val="00010FCE"/>
    <w:rsid w:val="00012FD9"/>
    <w:rsid w:val="00020B20"/>
    <w:rsid w:val="00021014"/>
    <w:rsid w:val="000301A8"/>
    <w:rsid w:val="00041523"/>
    <w:rsid w:val="00054A7B"/>
    <w:rsid w:val="00080DF9"/>
    <w:rsid w:val="0008685F"/>
    <w:rsid w:val="000922B0"/>
    <w:rsid w:val="00092382"/>
    <w:rsid w:val="00094F37"/>
    <w:rsid w:val="000A43DC"/>
    <w:rsid w:val="000B16CE"/>
    <w:rsid w:val="000C4F06"/>
    <w:rsid w:val="000F4438"/>
    <w:rsid w:val="000F6026"/>
    <w:rsid w:val="00104307"/>
    <w:rsid w:val="00111CA8"/>
    <w:rsid w:val="0011768F"/>
    <w:rsid w:val="001322C9"/>
    <w:rsid w:val="00137CCA"/>
    <w:rsid w:val="001526ED"/>
    <w:rsid w:val="00153DBD"/>
    <w:rsid w:val="00177941"/>
    <w:rsid w:val="00182F39"/>
    <w:rsid w:val="00186FCD"/>
    <w:rsid w:val="001A5889"/>
    <w:rsid w:val="001B535D"/>
    <w:rsid w:val="001D0E9E"/>
    <w:rsid w:val="001E63D1"/>
    <w:rsid w:val="001F50C9"/>
    <w:rsid w:val="001F7D53"/>
    <w:rsid w:val="00210D49"/>
    <w:rsid w:val="00213181"/>
    <w:rsid w:val="002152D0"/>
    <w:rsid w:val="0022193D"/>
    <w:rsid w:val="00232930"/>
    <w:rsid w:val="00252827"/>
    <w:rsid w:val="00253DCB"/>
    <w:rsid w:val="002768AD"/>
    <w:rsid w:val="002825C1"/>
    <w:rsid w:val="002916A7"/>
    <w:rsid w:val="002A5687"/>
    <w:rsid w:val="002C113D"/>
    <w:rsid w:val="002C484B"/>
    <w:rsid w:val="002C5728"/>
    <w:rsid w:val="002D2949"/>
    <w:rsid w:val="002D66AF"/>
    <w:rsid w:val="002F2C44"/>
    <w:rsid w:val="002F3DE2"/>
    <w:rsid w:val="00303B39"/>
    <w:rsid w:val="003161CE"/>
    <w:rsid w:val="00322C2B"/>
    <w:rsid w:val="003457E7"/>
    <w:rsid w:val="00347303"/>
    <w:rsid w:val="0035585E"/>
    <w:rsid w:val="00367202"/>
    <w:rsid w:val="00367B46"/>
    <w:rsid w:val="00372497"/>
    <w:rsid w:val="003746DA"/>
    <w:rsid w:val="003B4C49"/>
    <w:rsid w:val="003C2131"/>
    <w:rsid w:val="003D1AC0"/>
    <w:rsid w:val="003D2251"/>
    <w:rsid w:val="003D70ED"/>
    <w:rsid w:val="003E6F6F"/>
    <w:rsid w:val="003E728C"/>
    <w:rsid w:val="003F7D37"/>
    <w:rsid w:val="00401F15"/>
    <w:rsid w:val="004101D1"/>
    <w:rsid w:val="0041341F"/>
    <w:rsid w:val="004207F8"/>
    <w:rsid w:val="0043737D"/>
    <w:rsid w:val="0044195D"/>
    <w:rsid w:val="00442332"/>
    <w:rsid w:val="00444287"/>
    <w:rsid w:val="00460CD0"/>
    <w:rsid w:val="00461C7E"/>
    <w:rsid w:val="0046528D"/>
    <w:rsid w:val="004714FA"/>
    <w:rsid w:val="00471867"/>
    <w:rsid w:val="00477777"/>
    <w:rsid w:val="004A084F"/>
    <w:rsid w:val="004A0BFE"/>
    <w:rsid w:val="004A363B"/>
    <w:rsid w:val="004B020A"/>
    <w:rsid w:val="004B1070"/>
    <w:rsid w:val="004B4B3A"/>
    <w:rsid w:val="004C405E"/>
    <w:rsid w:val="004D05B4"/>
    <w:rsid w:val="004D1546"/>
    <w:rsid w:val="004D25E0"/>
    <w:rsid w:val="004E1D0E"/>
    <w:rsid w:val="004E2643"/>
    <w:rsid w:val="004E3428"/>
    <w:rsid w:val="004F4A29"/>
    <w:rsid w:val="00501BB6"/>
    <w:rsid w:val="00503037"/>
    <w:rsid w:val="00506E0C"/>
    <w:rsid w:val="0053214D"/>
    <w:rsid w:val="00532D1E"/>
    <w:rsid w:val="00545D83"/>
    <w:rsid w:val="00545F06"/>
    <w:rsid w:val="00551A44"/>
    <w:rsid w:val="0057582D"/>
    <w:rsid w:val="00583EBE"/>
    <w:rsid w:val="00596E7A"/>
    <w:rsid w:val="005A303C"/>
    <w:rsid w:val="005B661B"/>
    <w:rsid w:val="005B710F"/>
    <w:rsid w:val="005C5031"/>
    <w:rsid w:val="005D5C8E"/>
    <w:rsid w:val="005E6151"/>
    <w:rsid w:val="005F447D"/>
    <w:rsid w:val="005F5F95"/>
    <w:rsid w:val="0060219B"/>
    <w:rsid w:val="00613E6A"/>
    <w:rsid w:val="006215F7"/>
    <w:rsid w:val="00635E10"/>
    <w:rsid w:val="006429EA"/>
    <w:rsid w:val="006603BD"/>
    <w:rsid w:val="00665833"/>
    <w:rsid w:val="00673974"/>
    <w:rsid w:val="00673AB1"/>
    <w:rsid w:val="00675AC0"/>
    <w:rsid w:val="006833F8"/>
    <w:rsid w:val="006836B7"/>
    <w:rsid w:val="006A4FE6"/>
    <w:rsid w:val="006A7C5D"/>
    <w:rsid w:val="006D1AC5"/>
    <w:rsid w:val="006D1E24"/>
    <w:rsid w:val="006F006F"/>
    <w:rsid w:val="0070687B"/>
    <w:rsid w:val="0071526D"/>
    <w:rsid w:val="00721F2A"/>
    <w:rsid w:val="00723127"/>
    <w:rsid w:val="0072499A"/>
    <w:rsid w:val="00731989"/>
    <w:rsid w:val="00744360"/>
    <w:rsid w:val="00754A09"/>
    <w:rsid w:val="00757B5E"/>
    <w:rsid w:val="00781569"/>
    <w:rsid w:val="0078652A"/>
    <w:rsid w:val="00791C56"/>
    <w:rsid w:val="00791DBD"/>
    <w:rsid w:val="007A4DDA"/>
    <w:rsid w:val="007B5B83"/>
    <w:rsid w:val="007B60F8"/>
    <w:rsid w:val="007B783D"/>
    <w:rsid w:val="007C018F"/>
    <w:rsid w:val="007D2E75"/>
    <w:rsid w:val="007D3D52"/>
    <w:rsid w:val="007E3E49"/>
    <w:rsid w:val="007F2EED"/>
    <w:rsid w:val="007F32B5"/>
    <w:rsid w:val="0080305E"/>
    <w:rsid w:val="00820F14"/>
    <w:rsid w:val="00827CA2"/>
    <w:rsid w:val="008315CD"/>
    <w:rsid w:val="00841EAC"/>
    <w:rsid w:val="00846611"/>
    <w:rsid w:val="008628F3"/>
    <w:rsid w:val="00866391"/>
    <w:rsid w:val="008703F4"/>
    <w:rsid w:val="008715F0"/>
    <w:rsid w:val="00875B22"/>
    <w:rsid w:val="00885788"/>
    <w:rsid w:val="00893085"/>
    <w:rsid w:val="008961BB"/>
    <w:rsid w:val="008A0B8E"/>
    <w:rsid w:val="008A3525"/>
    <w:rsid w:val="008C1A6F"/>
    <w:rsid w:val="008C26AE"/>
    <w:rsid w:val="008C5A3E"/>
    <w:rsid w:val="008D5418"/>
    <w:rsid w:val="008E1514"/>
    <w:rsid w:val="008F1980"/>
    <w:rsid w:val="008F27C8"/>
    <w:rsid w:val="009141F0"/>
    <w:rsid w:val="00922339"/>
    <w:rsid w:val="00925660"/>
    <w:rsid w:val="00965174"/>
    <w:rsid w:val="009741C6"/>
    <w:rsid w:val="0098036D"/>
    <w:rsid w:val="009A66D1"/>
    <w:rsid w:val="009E569B"/>
    <w:rsid w:val="009F061E"/>
    <w:rsid w:val="00A13ABA"/>
    <w:rsid w:val="00A13BAB"/>
    <w:rsid w:val="00A14116"/>
    <w:rsid w:val="00A16AC2"/>
    <w:rsid w:val="00A23B10"/>
    <w:rsid w:val="00A4047A"/>
    <w:rsid w:val="00A52FAD"/>
    <w:rsid w:val="00A609B7"/>
    <w:rsid w:val="00A72557"/>
    <w:rsid w:val="00A75256"/>
    <w:rsid w:val="00AB1F2F"/>
    <w:rsid w:val="00AB49DB"/>
    <w:rsid w:val="00AB6F27"/>
    <w:rsid w:val="00AD5025"/>
    <w:rsid w:val="00AE7406"/>
    <w:rsid w:val="00AF04FA"/>
    <w:rsid w:val="00AF528A"/>
    <w:rsid w:val="00B006D2"/>
    <w:rsid w:val="00B04AF6"/>
    <w:rsid w:val="00B056E8"/>
    <w:rsid w:val="00B06D6F"/>
    <w:rsid w:val="00B23653"/>
    <w:rsid w:val="00B30BCD"/>
    <w:rsid w:val="00B339AB"/>
    <w:rsid w:val="00B379EC"/>
    <w:rsid w:val="00B6137F"/>
    <w:rsid w:val="00B923F3"/>
    <w:rsid w:val="00B92FAA"/>
    <w:rsid w:val="00BA3D42"/>
    <w:rsid w:val="00BA64B6"/>
    <w:rsid w:val="00BC3ECD"/>
    <w:rsid w:val="00BD0F93"/>
    <w:rsid w:val="00BD24E7"/>
    <w:rsid w:val="00BF160E"/>
    <w:rsid w:val="00C10372"/>
    <w:rsid w:val="00C1643B"/>
    <w:rsid w:val="00C32C02"/>
    <w:rsid w:val="00C354B6"/>
    <w:rsid w:val="00C46E8E"/>
    <w:rsid w:val="00C56FCC"/>
    <w:rsid w:val="00C57D64"/>
    <w:rsid w:val="00C63313"/>
    <w:rsid w:val="00C64E4F"/>
    <w:rsid w:val="00C7620A"/>
    <w:rsid w:val="00C80109"/>
    <w:rsid w:val="00C900AD"/>
    <w:rsid w:val="00C94658"/>
    <w:rsid w:val="00CC4977"/>
    <w:rsid w:val="00CC5A74"/>
    <w:rsid w:val="00CC6F5F"/>
    <w:rsid w:val="00CE0346"/>
    <w:rsid w:val="00CE3DA4"/>
    <w:rsid w:val="00CF4990"/>
    <w:rsid w:val="00CF7A36"/>
    <w:rsid w:val="00CF7BA1"/>
    <w:rsid w:val="00D03778"/>
    <w:rsid w:val="00D06FC0"/>
    <w:rsid w:val="00D12886"/>
    <w:rsid w:val="00D17B4B"/>
    <w:rsid w:val="00D2191E"/>
    <w:rsid w:val="00D22271"/>
    <w:rsid w:val="00D309C3"/>
    <w:rsid w:val="00D3595C"/>
    <w:rsid w:val="00D3703E"/>
    <w:rsid w:val="00D40721"/>
    <w:rsid w:val="00D571F8"/>
    <w:rsid w:val="00D651D9"/>
    <w:rsid w:val="00D70A8C"/>
    <w:rsid w:val="00D72522"/>
    <w:rsid w:val="00D75F68"/>
    <w:rsid w:val="00D922A6"/>
    <w:rsid w:val="00DC6F1C"/>
    <w:rsid w:val="00DD08F3"/>
    <w:rsid w:val="00DF161D"/>
    <w:rsid w:val="00E04649"/>
    <w:rsid w:val="00E14848"/>
    <w:rsid w:val="00E2322F"/>
    <w:rsid w:val="00E27920"/>
    <w:rsid w:val="00E35F28"/>
    <w:rsid w:val="00E35F4F"/>
    <w:rsid w:val="00E36EFE"/>
    <w:rsid w:val="00E70C75"/>
    <w:rsid w:val="00E7302B"/>
    <w:rsid w:val="00E763CE"/>
    <w:rsid w:val="00E965BF"/>
    <w:rsid w:val="00EB0DED"/>
    <w:rsid w:val="00EB3735"/>
    <w:rsid w:val="00ED3317"/>
    <w:rsid w:val="00ED718E"/>
    <w:rsid w:val="00EE3839"/>
    <w:rsid w:val="00EF5D22"/>
    <w:rsid w:val="00F04556"/>
    <w:rsid w:val="00F153FE"/>
    <w:rsid w:val="00F25F6B"/>
    <w:rsid w:val="00F31E95"/>
    <w:rsid w:val="00F35C90"/>
    <w:rsid w:val="00F35FB2"/>
    <w:rsid w:val="00F60D40"/>
    <w:rsid w:val="00F60E03"/>
    <w:rsid w:val="00FD21A5"/>
    <w:rsid w:val="00FE4DB5"/>
    <w:rsid w:val="00FE5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74FE"/>
  <w15:docId w15:val="{F188F530-6AC8-4899-9BA9-0AB37BE7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D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16A7"/>
    <w:rPr>
      <w:i/>
      <w:iCs/>
      <w:color w:val="808080" w:themeColor="text1" w:themeTint="7F"/>
    </w:rPr>
  </w:style>
  <w:style w:type="paragraph" w:styleId="ListParagraph">
    <w:name w:val="List Paragraph"/>
    <w:basedOn w:val="Normal"/>
    <w:uiPriority w:val="34"/>
    <w:qFormat/>
    <w:rsid w:val="00503037"/>
    <w:pPr>
      <w:ind w:left="720"/>
      <w:contextualSpacing/>
    </w:pPr>
  </w:style>
  <w:style w:type="paragraph" w:styleId="NormalWeb">
    <w:name w:val="Normal (Web)"/>
    <w:basedOn w:val="Normal"/>
    <w:uiPriority w:val="99"/>
    <w:unhideWhenUsed/>
    <w:rsid w:val="00AF04FA"/>
    <w:pPr>
      <w:spacing w:before="100" w:beforeAutospacing="1" w:after="100" w:afterAutospacing="1" w:line="240" w:lineRule="auto"/>
    </w:pPr>
    <w:rPr>
      <w:rFonts w:eastAsiaTheme="minorEastAsia"/>
      <w:sz w:val="24"/>
      <w:szCs w:val="24"/>
    </w:rPr>
  </w:style>
  <w:style w:type="paragraph" w:styleId="Header">
    <w:name w:val="header"/>
    <w:basedOn w:val="Normal"/>
    <w:link w:val="HeaderChar"/>
    <w:uiPriority w:val="99"/>
    <w:unhideWhenUsed/>
    <w:rsid w:val="00C7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0A"/>
    <w:rPr>
      <w:rFonts w:ascii="Times New Roman" w:eastAsia="Calibri" w:hAnsi="Times New Roman" w:cs="Times New Roman"/>
      <w:sz w:val="28"/>
    </w:rPr>
  </w:style>
  <w:style w:type="paragraph" w:styleId="Footer">
    <w:name w:val="footer"/>
    <w:basedOn w:val="Normal"/>
    <w:link w:val="FooterChar"/>
    <w:uiPriority w:val="99"/>
    <w:unhideWhenUsed/>
    <w:rsid w:val="00C7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0A"/>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3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B2"/>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4B1070"/>
    <w:pPr>
      <w:spacing w:after="0" w:line="240" w:lineRule="auto"/>
      <w:ind w:firstLine="567"/>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4B107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B1070"/>
    <w:rPr>
      <w:vertAlign w:val="superscript"/>
    </w:rPr>
  </w:style>
  <w:style w:type="character" w:customStyle="1" w:styleId="BodyTextChar">
    <w:name w:val="Body Text Char"/>
    <w:link w:val="BodyText"/>
    <w:rsid w:val="001322C9"/>
    <w:rPr>
      <w:rFonts w:ascii="Times New Roman" w:eastAsia="Times New Roman" w:hAnsi="Times New Roman" w:cs="Times New Roman"/>
      <w:shd w:val="clear" w:color="auto" w:fill="FFFFFF"/>
    </w:rPr>
  </w:style>
  <w:style w:type="paragraph" w:styleId="BodyText">
    <w:name w:val="Body Text"/>
    <w:basedOn w:val="Normal"/>
    <w:link w:val="BodyTextChar"/>
    <w:qFormat/>
    <w:rsid w:val="001322C9"/>
    <w:pPr>
      <w:widowControl w:val="0"/>
      <w:shd w:val="clear" w:color="auto" w:fill="FFFFFF"/>
      <w:ind w:firstLine="400"/>
    </w:pPr>
    <w:rPr>
      <w:rFonts w:eastAsia="Times New Roman"/>
      <w:sz w:val="22"/>
    </w:rPr>
  </w:style>
  <w:style w:type="character" w:customStyle="1" w:styleId="BodyTextChar1">
    <w:name w:val="Body Text Char1"/>
    <w:basedOn w:val="DefaultParagraphFont"/>
    <w:uiPriority w:val="99"/>
    <w:semiHidden/>
    <w:rsid w:val="001322C9"/>
    <w:rPr>
      <w:rFonts w:ascii="Times New Roman" w:eastAsia="Calibri" w:hAnsi="Times New Roman" w:cs="Times New Roman"/>
      <w:sz w:val="28"/>
    </w:rPr>
  </w:style>
  <w:style w:type="table" w:styleId="TableGrid">
    <w:name w:val="Table Grid"/>
    <w:basedOn w:val="TableNormal"/>
    <w:uiPriority w:val="59"/>
    <w:rsid w:val="00303B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7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F133-8FAD-4854-A6D5-6BB4E867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VANTHU</cp:lastModifiedBy>
  <cp:revision>2</cp:revision>
  <cp:lastPrinted>2024-02-21T09:24:00Z</cp:lastPrinted>
  <dcterms:created xsi:type="dcterms:W3CDTF">2024-02-22T09:36:00Z</dcterms:created>
  <dcterms:modified xsi:type="dcterms:W3CDTF">2024-02-22T09:36:00Z</dcterms:modified>
</cp:coreProperties>
</file>